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before="480"/>
        <w:jc w:val="center"/>
      </w:pPr>
      <w:r>
        <w:rPr>
          <w:rFonts w:ascii="Arial" w:cs="Arial" w:eastAsia="Arial" w:hAnsi="Arial"/>
          <w:b/>
          <w:bCs/>
          <w:caps/>
          <w:color w:val="8B0000"/>
          <w:sz w:val="32"/>
          <w:szCs w:val="32"/>
        </w:rPr>
        <w:t xml:space="preserve">FORMAL COMPLAINT OF ETHICS VIOLATION</w:t>
      </w:r>
    </w:p>
    <w:p>
      <w:pPr>
        <w:spacing w:after="80" w:before="0"/>
        <w:jc w:val="center"/>
      </w:pPr>
      <w:r>
        <w:rPr>
          <w:rFonts w:ascii="Arial" w:cs="Arial" w:eastAsia="Arial" w:hAnsi="Arial"/>
          <w:i/>
          <w:iCs/>
          <w:color w:val="555555"/>
          <w:sz w:val="22"/>
          <w:szCs w:val="22"/>
        </w:rPr>
        <w:t xml:space="preserve">Utah Public Officers' and Employees' Ethics Act  |  Utah Code § 67-16</w:t>
      </w:r>
    </w:p>
    <w:p>
      <w:pPr>
        <w:pBdr>
          <w:bottom w:val="single" w:color="2E5496" w:sz="4" w:space="1"/>
        </w:pBdr>
        <w:spacing w:after="160" w:before="160"/>
      </w:pPr>
      <w:r>
        <w:t xml:space="preserve"/>
      </w:r>
    </w:p>
    <w:p>
      <w:pPr>
        <w:spacing w:after="80" w:before="160"/>
        <w:jc w:val="center"/>
      </w:pPr>
      <w:r>
        <w:rPr>
          <w:rFonts w:ascii="Arial" w:cs="Arial" w:eastAsia="Arial" w:hAnsi="Arial"/>
          <w:b/>
          <w:bCs/>
          <w:color w:val="1F3864"/>
          <w:sz w:val="22"/>
          <w:szCs w:val="22"/>
        </w:rPr>
        <w:t xml:space="preserve">SUBMITTED TO:</w:t>
      </w:r>
    </w:p>
    <w:p>
      <w:pPr>
        <w:spacing w:after="40" w:before="0"/>
        <w:jc w:val="center"/>
      </w:pPr>
      <w:r>
        <w:rPr>
          <w:rFonts w:ascii="Arial" w:cs="Arial" w:eastAsia="Arial" w:hAnsi="Arial"/>
          <w:sz w:val="22"/>
          <w:szCs w:val="22"/>
        </w:rPr>
        <w:t xml:space="preserve">J. Stuart Adams, Chair, Military Installation Development Authority (MIDA)</w:t>
      </w:r>
    </w:p>
    <w:p>
      <w:pPr>
        <w:spacing w:after="40" w:before="0"/>
        <w:jc w:val="center"/>
      </w:pPr>
      <w:r>
        <w:rPr>
          <w:rFonts w:ascii="Arial" w:cs="Arial" w:eastAsia="Arial" w:hAnsi="Arial"/>
          <w:b/>
          <w:bCs/>
          <w:sz w:val="22"/>
          <w:szCs w:val="22"/>
        </w:rPr>
        <w:t xml:space="preserve">AND</w:t>
      </w:r>
    </w:p>
    <w:p>
      <w:pPr>
        <w:spacing w:after="80" w:before="0"/>
        <w:jc w:val="center"/>
      </w:pPr>
      <w:r>
        <w:rPr>
          <w:rFonts w:ascii="Arial" w:cs="Arial" w:eastAsia="Arial" w:hAnsi="Arial"/>
          <w:sz w:val="22"/>
          <w:szCs w:val="22"/>
        </w:rPr>
        <w:t xml:space="preserve">Derek Brown, Utah Attorney General, 160 East 300 South, 6th Floor, Salt Lake City, UT 84114</w:t>
      </w:r>
    </w:p>
    <w:p>
      <w:pPr>
        <w:pBdr>
          <w:bottom w:val="single" w:color="2E5496" w:sz="4" w:space="1"/>
        </w:pBdr>
        <w:spacing w:after="160" w:before="1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Respondent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Paul Morris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Title</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Executive Director and General Counsel, Military Installation Development Authority (MIDA)</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Agency</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Military Installation Development Authority (MIDA) — Utah quasi-governmental state entity, Utah Code Title 63H-1</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Agency Head</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J. Stuart Adams, MIDA Board Chair (note: Adams is also subject of separate ethics complaint — AG referral recommended as primary recipient)</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NAME]
[Address] | [Phone] | [Email]</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May 2026</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Statutes Alleged Violated</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UCA 67-16-4 (using position to secure privileges; impaired independence); UCA 67-16-5 (accepting economic benefit tantamount to gift); UCA 67-16-7 (failure to disclose substantial interest); UCA 67-16-9 (personal investment conflict with public duties)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Nature of Complaint</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Morris served simultaneously as MIDA's Executive Director and General Counsel — the agency's highest staff officer and its in-house attorney — and personally promoted the Stratos Project to county commissioners using factual claims about fiber and gas infrastructure that are materially contradicted by federal data sources, while standing to gain professionally from project approval; he provided no independent legal check on the board's conflict-ridden approval process</w:t>
            </w:r>
          </w:p>
        </w:tc>
      </w:tr>
    </w:tbl>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1F3864"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DUAL TRACK NOTICE</w:t>
            </w:r>
          </w:p>
        </w:tc>
        <w:tc>
          <w:tcPr>
            <w:tcW w:type="dxa" w:w="7960"/>
            <w:tcBorders>
              <w:top w:val="single" w:color="8B0000" w:sz="4"/>
              <w:left w:val="single" w:color="8B0000" w:sz="4"/>
              <w:bottom w:val="single" w:color="8B0000" w:sz="4"/>
              <w:right w:val="single" w:color="8B0000" w:sz="4"/>
            </w:tcBorders>
            <w:shd w:fill="EEF3FA" w:val="clear"/>
            <w:tcMar>
              <w:top w:type="dxa" w:w="120"/>
              <w:left w:type="dxa" w:w="160"/>
              <w:bottom w:type="dxa" w:w="120"/>
              <w:right w:type="dxa" w:w="120"/>
            </w:tcMar>
          </w:tcPr>
          <w:p>
            <w:r>
              <w:rPr>
                <w:rFonts w:ascii="Arial" w:cs="Arial" w:eastAsia="Arial" w:hAnsi="Arial"/>
                <w:b/>
                <w:bCs/>
                <w:sz w:val="20"/>
                <w:szCs w:val="20"/>
              </w:rPr>
              <w:t xml:space="preserve">This complaint is filed simultaneously with the MIDA Board Chair (as agency head) and the Utah Attorney General. Given that the MIDA Board Chair (Stuart Adams) is himself the subject of a separate ethics complaint arising from the same approval, the Attorney General's office is the appropriate primary investigative authority for this matter. Complainant requests that the AG take lead jurisdiction.</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 PRELIMINARY STATEMENT</w:t>
      </w:r>
    </w:p>
    <w:p>
      <w:pPr>
        <w:spacing w:after="100" w:before="100"/>
      </w:pPr>
      <w:r>
        <w:rPr>
          <w:rFonts w:ascii="Arial" w:cs="Arial" w:eastAsia="Arial" w:hAnsi="Arial"/>
          <w:sz w:val="22"/>
          <w:szCs w:val="22"/>
        </w:rPr>
        <w:t xml:space="preserve">Paul Morris holds an unusual and structurally problematic dual role at MIDA: he is simultaneously its Executive Director — its most senior staff officer, responsible for managing operations, evaluating projects, and making recommendations to the board — and its General Counsel — its in-house attorney, responsible for providing independent legal advice, conducting conflict-of-interest analysis, and ensuring the board's proceedings comply with Utah law.</w:t>
      </w:r>
    </w:p>
    <w:p>
      <w:pPr>
        <w:spacing w:after="60" w:before="60"/>
      </w:pPr>
      <w:r>
        <w:t xml:space="preserve"/>
      </w:r>
    </w:p>
    <w:p>
      <w:pPr>
        <w:spacing w:after="100" w:before="100"/>
      </w:pPr>
      <w:r>
        <w:rPr>
          <w:rFonts w:ascii="Arial" w:cs="Arial" w:eastAsia="Arial" w:hAnsi="Arial"/>
          <w:sz w:val="22"/>
          <w:szCs w:val="22"/>
        </w:rPr>
        <w:t xml:space="preserve">In the context of the Stratos Project approval, these two roles came into direct conflict. As Executive Director, Morris was the project's primary champion within MIDA: he presented the project to Box Elder County commissioners, publicly advocated for it, cited specific infrastructure advantages (proximity to the Ruby Pipeline and 'redundant fiber availability'), and described it as a 'once in a generational opportunity.' As General Counsel, his duty was to provide objective legal oversight — including conflict-of-interest analysis for board members and scrutiny of the factual claims underlying the approval.</w:t>
      </w:r>
    </w:p>
    <w:p>
      <w:pPr>
        <w:spacing w:after="60" w:before="60"/>
      </w:pPr>
      <w:r>
        <w:t xml:space="preserve"/>
      </w:r>
    </w:p>
    <w:p>
      <w:pPr>
        <w:spacing w:after="100" w:before="100"/>
      </w:pPr>
      <w:r>
        <w:rPr>
          <w:rFonts w:ascii="Arial" w:cs="Arial" w:eastAsia="Arial" w:hAnsi="Arial"/>
          <w:sz w:val="22"/>
          <w:szCs w:val="22"/>
        </w:rPr>
        <w:t xml:space="preserve">He did neither. The 'redundant fiber' claim Morris cited publicly as a site advantage is materially contradicted by three independent federal data sources confirming Hansel Valley is a broadband desert. The board members whose conflicts he should have flagged — Adams, Stevenson, and others — voted without any disclosed conflict analysis. And Morris himself, as a state public officer under UCA 67-16, had his own obligations of independence and disclosure that appear to have gone unmet.</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8B0000"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CORE ALLEGATION</w:t>
            </w:r>
          </w:p>
        </w:tc>
        <w:tc>
          <w:tcPr>
            <w:tcW w:type="dxa" w:w="7960"/>
            <w:tcBorders>
              <w:top w:val="single" w:color="8B0000" w:sz="4"/>
              <w:left w:val="single" w:color="8B0000" w:sz="4"/>
              <w:bottom w:val="single" w:color="8B0000" w:sz="4"/>
              <w:right w:val="single" w:color="8B0000" w:sz="4"/>
            </w:tcBorders>
            <w:shd w:fill="FFF5F5" w:val="clear"/>
            <w:tcMar>
              <w:top w:type="dxa" w:w="120"/>
              <w:left w:type="dxa" w:w="160"/>
              <w:bottom w:type="dxa" w:w="120"/>
              <w:right w:type="dxa" w:w="120"/>
            </w:tcMar>
          </w:tcPr>
          <w:p>
            <w:r>
              <w:rPr>
                <w:rFonts w:ascii="Arial" w:cs="Arial" w:eastAsia="Arial" w:hAnsi="Arial"/>
                <w:b/>
                <w:bCs/>
                <w:sz w:val="20"/>
                <w:szCs w:val="20"/>
              </w:rPr>
              <w:t xml:space="preserve">Morris served as both project advocate and legal gatekeeper for the same approval — a structural impossibility under any ethical framework. He publicly promoted factual claims about the site that are contradicted by federal data. He failed to flag board member conflicts he was positioned to identify. And as a public officer, he used his position to advance an approval that served his agency's institutional interests without independent scrutiny.</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 RESPONDENT — PAUL MORRIS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600"/>
        <w:gridCol w:w="6760"/>
      </w:tblGrid>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Full Name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Paul Morris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Title</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Executive Director and General Counsel, MIDA</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Dual Role Significance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Senior-most MIDA staff member AND its in-house legal counsel — responsible for both operational management and independent legal oversight of the same proceedings</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Stratos Role — Operational</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Presented the Stratos Project to Box Elder County commissioners; publicly advocated for approval; cited Ruby Pipeline proximity and 'redundant fiber availability' as key site advantages; described project as a 'once in a generational opportunity'</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Stratos Role — Legal</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As General Counsel, responsible for legal review of the development agreement, conflict-of-interest compliance by board members, and adherence to MIDA's enabling statute</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Key Public Statement</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Cited 'proximity to the Ruby natural gas pipeline and redundant fiber availability' as site advantages to Box Elder County commissioners — a claim contradicted by three independent federal data sources confirming Hansel Valley is a broadband desert</w:t>
            </w:r>
          </w:p>
        </w:tc>
      </w:tr>
      <w:tr>
        <w:tc>
          <w:tcPr>
            <w:tcW w:type="dxa" w:w="26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Reporting Structure</w:t>
            </w:r>
          </w:p>
        </w:tc>
        <w:tc>
          <w:tcPr>
            <w:tcW w:type="dxa" w:w="67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Reports to MIDA Board — chaired by Stuart Adams, who is subject of separate ethics complaint</w:t>
            </w:r>
          </w:p>
        </w:tc>
      </w:tr>
      <w:tr>
        <w:tc>
          <w:tcPr>
            <w:tcW w:type="dxa" w:w="26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UCA 67-16 Status</w:t>
            </w:r>
          </w:p>
        </w:tc>
        <w:tc>
          <w:tcPr>
            <w:tcW w:type="dxa" w:w="67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Public employee / public officer of a state quasi-governmental entity — subject to the Utah Public Officers' and Employees' Ethics Act</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III. FACTUAL BACKGROUND</w:t>
      </w:r>
    </w:p>
    <w:p>
      <w:pPr>
        <w:pStyle w:val="Heading2"/>
        <w:spacing w:after="120" w:before="280"/>
      </w:pPr>
      <w:r>
        <w:rPr>
          <w:rFonts w:ascii="Arial" w:cs="Arial" w:eastAsia="Arial" w:hAnsi="Arial"/>
          <w:b/>
          <w:bCs/>
          <w:color w:val="2E5496"/>
          <w:sz w:val="24"/>
          <w:szCs w:val="24"/>
        </w:rPr>
        <w:t xml:space="preserve">A. Morris's Dual Role — The Structural Problem</w:t>
      </w:r>
    </w:p>
    <w:p>
      <w:pPr>
        <w:spacing w:after="100" w:before="100"/>
      </w:pPr>
      <w:r>
        <w:rPr>
          <w:rFonts w:ascii="Arial" w:cs="Arial" w:eastAsia="Arial" w:hAnsi="Arial"/>
          <w:sz w:val="22"/>
          <w:szCs w:val="22"/>
        </w:rPr>
        <w:t xml:space="preserve">MIDA's Executive Director manages day-to-day operations, evaluates project proposals, coordinates with developers, and makes recommendations to the board. MIDA's General Counsel provides independent legal advice, reviews agreements, conducts or oversees conflict-of-interest analysis, and ensures the agency's proceedings comply with Utah law.</w:t>
      </w:r>
    </w:p>
    <w:p>
      <w:pPr>
        <w:spacing w:after="60" w:before="60"/>
      </w:pPr>
      <w:r>
        <w:t xml:space="preserve"/>
      </w:r>
    </w:p>
    <w:p>
      <w:pPr>
        <w:spacing w:after="100" w:before="100"/>
      </w:pPr>
      <w:r>
        <w:rPr>
          <w:rFonts w:ascii="Arial" w:cs="Arial" w:eastAsia="Arial" w:hAnsi="Arial"/>
          <w:sz w:val="22"/>
          <w:szCs w:val="22"/>
        </w:rPr>
        <w:t xml:space="preserve">Paul Morris holds both roles simultaneously. This is structurally problematic in any significant approval process — and acutely so in the Stratos approval, where the board's conflicts were numerous, documented, and known. A General Counsel who is also the project champion cannot provide the independent legal check that role demands. His institutional interest in the project's approval was identical to his operational interest — leaving no internal legal counterweight to the board's compromised approval process.</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B. The 'Redundant Fiber' Claim — A Materially False Site Advantage</w:t>
      </w:r>
    </w:p>
    <w:p>
      <w:pPr>
        <w:spacing w:after="100" w:before="100"/>
      </w:pPr>
      <w:r>
        <w:rPr>
          <w:rFonts w:ascii="Arial" w:cs="Arial" w:eastAsia="Arial" w:hAnsi="Arial"/>
          <w:sz w:val="22"/>
          <w:szCs w:val="22"/>
        </w:rPr>
        <w:t xml:space="preserve">Morris publicly and repeatedly cited 'redundant fiber availability' as a key advantage of the Hansel Valley site. This claim was central to the Stratos approval — MIDA's own development agreement cited it, and Morris repeated it to Box Elder County commissioners as part of his advocacy for the project.</w:t>
      </w:r>
    </w:p>
    <w:p>
      <w:pPr>
        <w:spacing w:after="60" w:before="60"/>
      </w:pPr>
      <w:r>
        <w:t xml:space="preserve"/>
      </w:r>
    </w:p>
    <w:p>
      <w:pPr>
        <w:spacing w:after="100" w:before="100"/>
      </w:pPr>
      <w:r>
        <w:rPr>
          <w:rFonts w:ascii="Arial" w:cs="Arial" w:eastAsia="Arial" w:hAnsi="Arial"/>
          <w:sz w:val="22"/>
          <w:szCs w:val="22"/>
        </w:rPr>
        <w:t xml:space="preserve">Three independent federal data sources directly contradict this claim:</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800"/>
        <w:gridCol w:w="6560"/>
      </w:tblGrid>
      <w:tr>
        <w:tc>
          <w:tcPr>
            <w:tcW w:type="dxa" w:w="2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Source</w:t>
            </w:r>
          </w:p>
        </w:tc>
        <w:tc>
          <w:tcPr>
            <w:tcW w:type="dxa" w:w="6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Finding at Hansel Valley</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FiberLocator Metro Carriers Map</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Metro carrier fiber lines follow major highways (I-84, I-15, I-80) — entirely absent at the Stratos site. National carriers are not present at Hansel Valley.</w:t>
            </w:r>
          </w:p>
        </w:tc>
      </w:tr>
      <w:tr>
        <w:tc>
          <w:tcPr>
            <w:tcW w:type="dxa" w:w="2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FiberLocator FCC BDC Data</w:t>
            </w:r>
          </w:p>
        </w:tc>
        <w:tc>
          <w:tcPr>
            <w:tcW w:type="dxa" w:w="6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White and no-data hexagons at the precise Stratos site location. Red (1-2 provider) hexagons in surrounding ring only. Fiber void confirmed at site.</w:t>
            </w:r>
          </w:p>
        </w:tc>
      </w:tr>
      <w:tr>
        <w:tc>
          <w:tcPr>
            <w:tcW w:type="dxa" w:w="2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FCC National Broadband Map (June 2025)</w:t>
            </w:r>
          </w:p>
        </w:tc>
        <w:tc>
          <w:tcPr>
            <w:tcW w:type="dxa" w:w="6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Gray/white hexagons (0-20% served) across western Box Elder County. Federal government's own current data confirms the area is effectively unserved.</w:t>
            </w:r>
          </w:p>
        </w:tc>
      </w:tr>
    </w:tbl>
    <w:p>
      <w:pPr>
        <w:spacing w:after="60" w:before="60"/>
      </w:pPr>
      <w:r>
        <w:t xml:space="preserve"/>
      </w:r>
    </w:p>
    <w:p>
      <w:pPr>
        <w:spacing w:after="100" w:before="100"/>
      </w:pPr>
      <w:r>
        <w:rPr>
          <w:rFonts w:ascii="Arial" w:cs="Arial" w:eastAsia="Arial" w:hAnsi="Arial"/>
          <w:sz w:val="22"/>
          <w:szCs w:val="22"/>
        </w:rPr>
        <w:t xml:space="preserve">As MIDA's General Counsel, Morris had a duty to ensure that factual claims made in support of a major approval were accurate and supportable. As Executive Director, he personally made the misrepresentation to county commissioners and the public. Either way — whether as the advocate who made the claim or the lawyer who should have vetted it — Morris's conduct around the fiber claim is directly relevant to this complaint.</w:t>
      </w:r>
    </w:p>
    <w:p>
      <w:pPr>
        <w:spacing w:after="60" w:before="60"/>
      </w:pPr>
      <w:r>
        <w:t xml:space="preserve"/>
      </w:r>
    </w:p>
    <w:p>
      <w:pPr>
        <w:spacing w:after="100" w:before="100"/>
      </w:pPr>
      <w:r>
        <w:rPr>
          <w:rFonts w:ascii="Arial" w:cs="Arial" w:eastAsia="Arial" w:hAnsi="Arial"/>
          <w:sz w:val="22"/>
          <w:szCs w:val="22"/>
        </w:rPr>
        <w:t xml:space="preserve">What MIDA's 'redundant fiber' almost certainly refers to is long-haul transport passing near the site — not commercial fiber laterals terminating at it. A 9-gigawatt hyperscale campus requires commercially available, geographically diverse fiber paths actually entering the site. None currently exist at Hansel Valley. The distinction between 'fiber near the site' and 'fiber at the site' is not technical hairsplitting — for a hyperscale tenant, it is the difference between a viable and an unviable campus.</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C. Failure to Flag Board Member Conflicts</w:t>
      </w:r>
    </w:p>
    <w:p>
      <w:pPr>
        <w:spacing w:after="100" w:before="100"/>
      </w:pPr>
      <w:r>
        <w:rPr>
          <w:rFonts w:ascii="Arial" w:cs="Arial" w:eastAsia="Arial" w:hAnsi="Arial"/>
          <w:sz w:val="22"/>
          <w:szCs w:val="22"/>
        </w:rPr>
        <w:t xml:space="preserve">As General Counsel, Morris was the person best positioned — and professionally obligated — to identify and flag the conflicts of interest embedded in the MIDA board's composition for the Stratos approval:</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Stuart Adams: MIDA Chair, received $135,000 in PAC donations from MIDA-connected donors seven days after the approval he chaired — Morris had access to information about all board members' relationships with project-connected entities</w:t>
      </w:r>
    </w:p>
    <w:p>
      <w:pPr>
        <w:pStyle w:val="ListParagraph"/>
        <w:numPr>
          <w:ilvl w:val="0"/>
          <w:numId w:val="2"/>
        </w:numPr>
        <w:spacing w:after="60" w:before="60"/>
      </w:pPr>
      <w:r>
        <w:rPr>
          <w:rFonts w:ascii="Arial" w:cs="Arial" w:eastAsia="Arial" w:hAnsi="Arial"/>
          <w:sz w:val="22"/>
          <w:szCs w:val="22"/>
        </w:rPr>
        <w:t xml:space="preserve">Jerry Stevenson: Owner of J&amp;J Nursery, a major agricultural business materially affected by the project's water rights and land use implications — a conflict visible from publicly available business records</w:t>
      </w:r>
    </w:p>
    <w:p>
      <w:pPr>
        <w:pStyle w:val="ListParagraph"/>
        <w:numPr>
          <w:ilvl w:val="0"/>
          <w:numId w:val="2"/>
        </w:numPr>
        <w:spacing w:after="60" w:before="60"/>
      </w:pPr>
      <w:r>
        <w:rPr>
          <w:rFonts w:ascii="Arial" w:cs="Arial" w:eastAsia="Arial" w:hAnsi="Arial"/>
          <w:sz w:val="22"/>
          <w:szCs w:val="22"/>
        </w:rPr>
        <w:t xml:space="preserve">Jefferson Moss: Non-voting member appointed by Governor Cox, whose family's company (CentraCom) holds a near-monopoly on existing fiber access routes to the site — directly relevant to the 'redundant fiber' claim Morris himself was making</w:t>
      </w:r>
    </w:p>
    <w:p>
      <w:pPr>
        <w:pStyle w:val="ListParagraph"/>
        <w:numPr>
          <w:ilvl w:val="0"/>
          <w:numId w:val="2"/>
        </w:numPr>
        <w:spacing w:after="60" w:before="60"/>
      </w:pPr>
      <w:r>
        <w:rPr>
          <w:rFonts w:ascii="Arial" w:cs="Arial" w:eastAsia="Arial" w:hAnsi="Arial"/>
          <w:sz w:val="22"/>
          <w:szCs w:val="22"/>
        </w:rPr>
        <w:t xml:space="preserve">Mike Ostermiller: Registered lobbyist for industries directly affected by MIDA approvals — a structural conflict Morris should have identified and flagged to the board</w:t>
      </w:r>
    </w:p>
    <w:p>
      <w:pPr>
        <w:spacing w:after="60" w:before="60"/>
      </w:pPr>
      <w:r>
        <w:t xml:space="preserve"/>
      </w:r>
    </w:p>
    <w:p>
      <w:pPr>
        <w:spacing w:after="100" w:before="100"/>
      </w:pPr>
      <w:r>
        <w:rPr>
          <w:rFonts w:ascii="Arial" w:cs="Arial" w:eastAsia="Arial" w:hAnsi="Arial"/>
          <w:sz w:val="22"/>
          <w:szCs w:val="22"/>
        </w:rPr>
        <w:t xml:space="preserve">There is no public record that Morris — as General Counsel — conducted any conflict-of-interest analysis, requested any disclosures, or flagged any of these conflicts before the April 24, 2026 vote. His dual role as project advocate made independent legal review structurally impossible.</w:t>
      </w:r>
    </w:p>
    <w:p>
      <w:pPr>
        <w:spacing w:after="60" w:before="60"/>
      </w:pPr>
      <w:r>
        <w:t xml:space="preserve"/>
      </w:r>
    </w:p>
    <w:p>
      <w:pPr>
        <w:pStyle w:val="Heading2"/>
        <w:spacing w:after="120" w:before="280"/>
      </w:pPr>
      <w:r>
        <w:rPr>
          <w:rFonts w:ascii="Arial" w:cs="Arial" w:eastAsia="Arial" w:hAnsi="Arial"/>
          <w:b/>
          <w:bCs/>
          <w:color w:val="2E5496"/>
          <w:sz w:val="24"/>
          <w:szCs w:val="24"/>
        </w:rPr>
        <w:t xml:space="preserve">D. Promotion of a Financially Undercapitalized Project</w:t>
      </w:r>
    </w:p>
    <w:p>
      <w:pPr>
        <w:spacing w:after="100" w:before="100"/>
      </w:pPr>
      <w:r>
        <w:rPr>
          <w:rFonts w:ascii="Arial" w:cs="Arial" w:eastAsia="Arial" w:hAnsi="Arial"/>
          <w:sz w:val="22"/>
          <w:szCs w:val="22"/>
        </w:rPr>
        <w:t xml:space="preserve">Morris described the Stratos Project as a 'once in a generational opportunity' and publicly promoted it to commissioners and the public while the following facts were either known or knowable to him as MIDA's senior staff officer:</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Only approximately $20 million had been spent on permitting — less than 0.5% of Phase 1 capital requirements exceeding $4 billion</w:t>
      </w:r>
    </w:p>
    <w:p>
      <w:pPr>
        <w:pStyle w:val="ListParagraph"/>
        <w:numPr>
          <w:ilvl w:val="0"/>
          <w:numId w:val="2"/>
        </w:numPr>
        <w:spacing w:after="60" w:before="60"/>
      </w:pPr>
      <w:r>
        <w:rPr>
          <w:rFonts w:ascii="Arial" w:cs="Arial" w:eastAsia="Arial" w:hAnsi="Arial"/>
          <w:sz w:val="22"/>
          <w:szCs w:val="22"/>
        </w:rPr>
        <w:t xml:space="preserve">No signed hyperscale tenants (Microsoft, Google, Amazon) had been publicly announced</w:t>
      </w:r>
    </w:p>
    <w:p>
      <w:pPr>
        <w:pStyle w:val="ListParagraph"/>
        <w:numPr>
          <w:ilvl w:val="0"/>
          <w:numId w:val="2"/>
        </w:numPr>
        <w:spacing w:after="60" w:before="60"/>
      </w:pPr>
      <w:r>
        <w:rPr>
          <w:rFonts w:ascii="Arial" w:cs="Arial" w:eastAsia="Arial" w:hAnsi="Arial"/>
          <w:sz w:val="22"/>
          <w:szCs w:val="22"/>
        </w:rPr>
        <w:t xml:space="preserve">Investment banks had been hired to find the money after approval — not before</w:t>
      </w:r>
    </w:p>
    <w:p>
      <w:pPr>
        <w:pStyle w:val="ListParagraph"/>
        <w:numPr>
          <w:ilvl w:val="0"/>
          <w:numId w:val="2"/>
        </w:numPr>
        <w:spacing w:after="60" w:before="60"/>
      </w:pPr>
      <w:r>
        <w:rPr>
          <w:rFonts w:ascii="Arial" w:cs="Arial" w:eastAsia="Arial" w:hAnsi="Arial"/>
          <w:sz w:val="22"/>
          <w:szCs w:val="22"/>
        </w:rPr>
        <w:t xml:space="preserve">The developer's Alberta project (Wonder Valley Alberta) had been announced 18 months earlier and had not broken ground, purchased land, or filed permits</w:t>
      </w:r>
    </w:p>
    <w:p>
      <w:pPr>
        <w:pStyle w:val="ListParagraph"/>
        <w:numPr>
          <w:ilvl w:val="0"/>
          <w:numId w:val="2"/>
        </w:numPr>
        <w:spacing w:after="60" w:before="60"/>
      </w:pPr>
      <w:r>
        <w:rPr>
          <w:rFonts w:ascii="Arial" w:cs="Arial" w:eastAsia="Arial" w:hAnsi="Arial"/>
          <w:sz w:val="22"/>
          <w:szCs w:val="22"/>
        </w:rPr>
        <w:t xml:space="preserve">The capital raise was explicitly stated to begin after the county approval — meaning the approval itself was the product being sold to investors</w:t>
      </w:r>
    </w:p>
    <w:p>
      <w:pPr>
        <w:spacing w:after="60" w:before="60"/>
      </w:pPr>
      <w:r>
        <w:t xml:space="preserve"/>
      </w:r>
    </w:p>
    <w:p>
      <w:pPr>
        <w:spacing w:after="100" w:before="100"/>
      </w:pPr>
      <w:r>
        <w:rPr>
          <w:rFonts w:ascii="Arial" w:cs="Arial" w:eastAsia="Arial" w:hAnsi="Arial"/>
          <w:sz w:val="22"/>
          <w:szCs w:val="22"/>
        </w:rPr>
        <w:t xml:space="preserve">A state public officer who promotes a project of this scale — with this capital profile — without independent due diligence, and who uses that promotion to secure government approvals that then serve as collateral for a capital raise, raises serious questions under UCA 67-16-4's prohibition on using official position to secure privileges and under the general duty of a public officer to act in the public interest.</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IV. VIOLATIONS ALLEGED UNDER UCA 67-16</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UCA 67-16-4</w:t>
            </w:r>
          </w:p>
          <w:p>
            <w:pPr>
              <w:jc w:val="center"/>
            </w:pPr>
            <w:r>
              <w:rPr>
                <w:rFonts w:ascii="Arial" w:cs="Arial" w:eastAsia="Arial" w:hAnsi="Arial"/>
                <w:i/>
                <w:iCs/>
                <w:color w:val="CCE0FF"/>
                <w:sz w:val="16"/>
                <w:szCs w:val="16"/>
              </w:rPr>
              <w:t xml:space="preserve">Using Position to Secure Privileges; Impaired Independence</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It is an offense for a public officer or employee to improperly use job-related information, use their position to secure privileges or exemptions, or accept employment that would impair their independence of judgment or ethical performance.</w:t>
            </w:r>
          </w:p>
        </w:tc>
      </w:tr>
    </w:tbl>
    <w:p>
      <w:pPr>
        <w:spacing w:after="60" w:before="60"/>
      </w:pPr>
      <w:r>
        <w:t xml:space="preserve"/>
      </w:r>
    </w:p>
    <w:p>
      <w:pPr>
        <w:spacing w:after="100" w:before="100"/>
      </w:pPr>
      <w:r>
        <w:rPr>
          <w:rFonts w:ascii="Arial" w:cs="Arial" w:eastAsia="Arial" w:hAnsi="Arial"/>
          <w:sz w:val="22"/>
          <w:szCs w:val="22"/>
        </w:rPr>
        <w:t xml:space="preserve">Application: Morris used his dual position as Executive Director and General Counsel to advocate for, promote, and secure approval of the Stratos Project — securing for the developer extraordinary tax privileges (energy tax cut from 6% to 0.5%; 80% property tax rebate) and development authority — while simultaneously serving as the legal officer whose duty was to independently evaluate that approval. His dual role structurally impaired his independence of judgment. His public advocacy for a project whose site advantages he misrepresented to commissioners further implicates this provision.</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UCA 67-16-5</w:t>
            </w:r>
          </w:p>
          <w:p>
            <w:pPr>
              <w:jc w:val="center"/>
            </w:pPr>
            <w:r>
              <w:rPr>
                <w:rFonts w:ascii="Arial" w:cs="Arial" w:eastAsia="Arial" w:hAnsi="Arial"/>
                <w:i/>
                <w:iCs/>
                <w:color w:val="CCE0FF"/>
                <w:sz w:val="16"/>
                <w:szCs w:val="16"/>
              </w:rPr>
              <w:t xml:space="preserve">Accepting Economic Benefit Tantamount to a Gift</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It is an offense for a public officer to receive, accept, or solicit a gift of substantial value or economic benefit that would tend to improperly influence a reasonable person in their position, or that the officer knows or should know is for rewarding official action taken.</w:t>
            </w:r>
          </w:p>
        </w:tc>
      </w:tr>
    </w:tbl>
    <w:p>
      <w:pPr>
        <w:spacing w:after="60" w:before="60"/>
      </w:pPr>
      <w:r>
        <w:t xml:space="preserve"/>
      </w:r>
    </w:p>
    <w:p>
      <w:pPr>
        <w:spacing w:after="100" w:before="100"/>
      </w:pPr>
      <w:r>
        <w:rPr>
          <w:rFonts w:ascii="Arial" w:cs="Arial" w:eastAsia="Arial" w:hAnsi="Arial"/>
          <w:sz w:val="22"/>
          <w:szCs w:val="22"/>
        </w:rPr>
        <w:t xml:space="preserve">Application: This provision requires investigation into whether Morris received, was promised, or anticipated any financial benefit — including future employment, consulting arrangements, or other compensation — from any party connected to the Stratos Project, O'Leary Digital, West GenCo, or their affiliates. The approval he championed is worth billions in tax concessions to the developer. The question of whether Morris's advocacy was entirely disinterested requires independent investigation of his financial relationships with project-connected parties.</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UCA 67-16-7</w:t>
            </w:r>
          </w:p>
          <w:p>
            <w:pPr>
              <w:jc w:val="center"/>
            </w:pPr>
            <w:r>
              <w:rPr>
                <w:rFonts w:ascii="Arial" w:cs="Arial" w:eastAsia="Arial" w:hAnsi="Arial"/>
                <w:i/>
                <w:iCs/>
                <w:color w:val="CCE0FF"/>
                <w:sz w:val="16"/>
                <w:szCs w:val="16"/>
              </w:rPr>
              <w:t xml:space="preserve">Disclosure of Substantial Interest</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A public officer must disclose any substantial interest in a business entity that is regulated by or has interests before a state agency when the officer participates in any action affecting that entity.</w:t>
            </w:r>
          </w:p>
        </w:tc>
      </w:tr>
    </w:tbl>
    <w:p>
      <w:pPr>
        <w:spacing w:after="60" w:before="60"/>
      </w:pPr>
      <w:r>
        <w:t xml:space="preserve"/>
      </w:r>
    </w:p>
    <w:p>
      <w:pPr>
        <w:spacing w:after="100" w:before="100"/>
      </w:pPr>
      <w:r>
        <w:rPr>
          <w:rFonts w:ascii="Arial" w:cs="Arial" w:eastAsia="Arial" w:hAnsi="Arial"/>
          <w:sz w:val="22"/>
          <w:szCs w:val="22"/>
        </w:rPr>
        <w:t xml:space="preserve">Application: To the extent Morris has any financial interest, consulting relationship, or anticipated future employment with any party connected to the Stratos Project, he was required to disclose it before participating in any aspect of the approval process. No such disclosure is on the public record.</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600"/>
        <w:gridCol w:w="7760"/>
      </w:tblGrid>
      <w:tr>
        <w:tc>
          <w:tcPr>
            <w:tcW w:type="dxa" w:w="1600"/>
            <w:tcBorders>
              <w:top w:val="single" w:color="1F3864" w:sz="4"/>
              <w:left w:val="single" w:color="1F3864" w:sz="4"/>
              <w:bottom w:val="single" w:color="1F3864" w:sz="4"/>
              <w:right w:val="single" w:color="1F3864" w:sz="4"/>
            </w:tcBorders>
            <w:shd w:fill="1F3864" w:val="clear"/>
            <w:tcMar>
              <w:top w:type="dxa" w:w="120"/>
              <w:left w:type="dxa" w:w="120"/>
              <w:bottom w:type="dxa" w:w="120"/>
              <w:right w:type="dxa" w:w="120"/>
            </w:tcMar>
          </w:tcPr>
          <w:p>
            <w:pPr>
              <w:jc w:val="center"/>
            </w:pPr>
            <w:r>
              <w:rPr>
                <w:rFonts w:ascii="Arial" w:cs="Arial" w:eastAsia="Arial" w:hAnsi="Arial"/>
                <w:b/>
                <w:bCs/>
                <w:color w:val="FFFFFF"/>
                <w:sz w:val="20"/>
                <w:szCs w:val="20"/>
              </w:rPr>
              <w:t xml:space="preserve">UCA 67-16-9</w:t>
            </w:r>
          </w:p>
          <w:p>
            <w:pPr>
              <w:jc w:val="center"/>
            </w:pPr>
            <w:r>
              <w:rPr>
                <w:rFonts w:ascii="Arial" w:cs="Arial" w:eastAsia="Arial" w:hAnsi="Arial"/>
                <w:i/>
                <w:iCs/>
                <w:color w:val="CCE0FF"/>
                <w:sz w:val="16"/>
                <w:szCs w:val="16"/>
              </w:rPr>
              <w:t xml:space="preserve">Conflict Between Private Interests and Public Duties</w:t>
            </w:r>
          </w:p>
        </w:tc>
        <w:tc>
          <w:tcPr>
            <w:tcW w:type="dxa" w:w="7760"/>
            <w:tcBorders>
              <w:top w:val="single" w:color="1F3864" w:sz="4"/>
              <w:left w:val="single" w:color="1F3864" w:sz="4"/>
              <w:bottom w:val="single" w:color="1F3864" w:sz="4"/>
              <w:right w:val="single" w:color="1F3864" w:sz="4"/>
            </w:tcBorders>
            <w:shd w:fill="F0F4FF" w:val="clear"/>
            <w:tcMar>
              <w:top w:type="dxa" w:w="120"/>
              <w:left w:type="dxa" w:w="160"/>
              <w:bottom w:type="dxa" w:w="120"/>
              <w:right w:type="dxa" w:w="120"/>
            </w:tcMar>
          </w:tcPr>
          <w:p>
            <w:r>
              <w:rPr>
                <w:rFonts w:ascii="Arial" w:cs="Arial" w:eastAsia="Arial" w:hAnsi="Arial"/>
                <w:sz w:val="20"/>
                <w:szCs w:val="20"/>
              </w:rPr>
              <w:t xml:space="preserve">No public officer shall have personal investments in any business entity which will create a substantial conflict between the officer's private interests and public duties.</w:t>
            </w:r>
          </w:p>
        </w:tc>
      </w:tr>
    </w:tbl>
    <w:p>
      <w:pPr>
        <w:spacing w:after="60" w:before="60"/>
      </w:pPr>
      <w:r>
        <w:t xml:space="preserve"/>
      </w:r>
    </w:p>
    <w:p>
      <w:pPr>
        <w:spacing w:after="100" w:before="100"/>
      </w:pPr>
      <w:r>
        <w:rPr>
          <w:rFonts w:ascii="Arial" w:cs="Arial" w:eastAsia="Arial" w:hAnsi="Arial"/>
          <w:sz w:val="22"/>
          <w:szCs w:val="22"/>
        </w:rPr>
        <w:t xml:space="preserve">Application: Morris's institutional role — as the senior staff officer of an agency whose mission, budget, and prestige are served by approving major projects — creates a structural conflict between his personal interest in MIDA's success and his duty as General Counsel to provide independent legal oversight. MIDA's approval of the Stratos Project enhances the agency's profile, justifies its budget, and validates its expanded use of quasi-governmental powers. Morris's personal and professional success is directly tied to MIDA's institutional success — a conflict that should have been managed through independent outside legal counsel for the Stratos review.</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 THE ATTORNEY GENERAL REFERRAL — WHY THE AG IS THE APPROPRIATE RECIPIENT</w:t>
      </w:r>
    </w:p>
    <w:p>
      <w:pPr>
        <w:spacing w:after="100" w:before="100"/>
      </w:pPr>
      <w:r>
        <w:rPr>
          <w:rFonts w:ascii="Arial" w:cs="Arial" w:eastAsia="Arial" w:hAnsi="Arial"/>
          <w:sz w:val="22"/>
          <w:szCs w:val="22"/>
        </w:rPr>
        <w:t xml:space="preserve">UCA 67-16 complaints normally go to the agency head. In this case, that is the MIDA Board Chair — J. Stuart Adams. However, Adams is himself the subject of a separate ethics complaint arising from the same approval. Referring this complaint to Adams for investigation would be structurally equivalent to referring an allegation of bank fraud to the bank's CEO.</w:t>
      </w:r>
    </w:p>
    <w:p>
      <w:pPr>
        <w:spacing w:after="60" w:before="60"/>
      </w:pPr>
      <w:r>
        <w:t xml:space="preserve"/>
      </w:r>
    </w:p>
    <w:p>
      <w:pPr>
        <w:spacing w:after="100" w:before="100"/>
      </w:pPr>
      <w:r>
        <w:rPr>
          <w:rFonts w:ascii="Arial" w:cs="Arial" w:eastAsia="Arial" w:hAnsi="Arial"/>
          <w:sz w:val="22"/>
          <w:szCs w:val="22"/>
        </w:rPr>
        <w:t xml:space="preserve">The Utah Attorney General has independent authority to investigate and prosecute violations of UCA 67-16. Knowing and intentional violations of the Act — exceeding $1,000 in value — constitute second-degree felonies under UCA 67-16-12. The tax concessions approved by the Stratos vote are worth hundreds of millions of dollars. This is not a matter for internal agency resolution. It requires independent prosecutorial review.</w:t>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400"/>
        <w:gridCol w:w="7960"/>
      </w:tblGrid>
      <w:tr>
        <w:tc>
          <w:tcPr>
            <w:tcW w:type="dxa" w:w="1400"/>
            <w:tcBorders>
              <w:top w:val="single" w:color="8B0000" w:sz="4"/>
              <w:left w:val="single" w:color="8B0000" w:sz="4"/>
              <w:bottom w:val="single" w:color="8B0000" w:sz="4"/>
              <w:right w:val="single" w:color="8B0000" w:sz="4"/>
            </w:tcBorders>
            <w:shd w:fill="1F3864" w:val="clear"/>
            <w:tcMar>
              <w:top w:type="dxa" w:w="120"/>
              <w:left w:type="dxa" w:w="120"/>
              <w:bottom w:type="dxa" w:w="120"/>
              <w:right w:type="dxa" w:w="120"/>
            </w:tcMar>
          </w:tcPr>
          <w:p>
            <w:pPr>
              <w:jc w:val="center"/>
            </w:pPr>
            <w:r>
              <w:rPr>
                <w:rFonts w:ascii="Arial" w:cs="Arial" w:eastAsia="Arial" w:hAnsi="Arial"/>
                <w:b/>
                <w:bCs/>
                <w:color w:val="FFFFFF"/>
                <w:sz w:val="18"/>
                <w:szCs w:val="18"/>
              </w:rPr>
              <w:t xml:space="preserve">AG REFERRAL BASIS</w:t>
            </w:r>
          </w:p>
        </w:tc>
        <w:tc>
          <w:tcPr>
            <w:tcW w:type="dxa" w:w="7960"/>
            <w:tcBorders>
              <w:top w:val="single" w:color="8B0000" w:sz="4"/>
              <w:left w:val="single" w:color="8B0000" w:sz="4"/>
              <w:bottom w:val="single" w:color="8B0000" w:sz="4"/>
              <w:right w:val="single" w:color="8B0000" w:sz="4"/>
            </w:tcBorders>
            <w:shd w:fill="EEF3FA" w:val="clear"/>
            <w:tcMar>
              <w:top w:type="dxa" w:w="120"/>
              <w:left w:type="dxa" w:w="160"/>
              <w:bottom w:type="dxa" w:w="120"/>
              <w:right w:type="dxa" w:w="120"/>
            </w:tcMar>
          </w:tcPr>
          <w:p>
            <w:r>
              <w:rPr>
                <w:rFonts w:ascii="Arial" w:cs="Arial" w:eastAsia="Arial" w:hAnsi="Arial"/>
                <w:b/>
                <w:bCs/>
                <w:sz w:val="20"/>
                <w:szCs w:val="20"/>
              </w:rPr>
              <w:t xml:space="preserve">UCA 67-16-12 provides that knowing and intentional violations of this chapter, where the value of the conflict of interest or assistance exceeds $1,000, are punishable as second-degree felonies. The tax concessions approved through Morris's advocacy exceed $1,000 by many orders of magnitude. Independent prosecutorial review by the AG is both appropriate and necessary.</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 OPEN QUESTIONS FOR INVESTIGATION</w:t>
      </w:r>
    </w:p>
    <w:p>
      <w:pPr>
        <w:pStyle w:val="ListParagraph"/>
        <w:numPr>
          <w:ilvl w:val="0"/>
          <w:numId w:val="2"/>
        </w:numPr>
        <w:spacing w:after="60" w:before="60"/>
      </w:pPr>
      <w:r>
        <w:rPr>
          <w:rFonts w:ascii="Arial" w:cs="Arial" w:eastAsia="Arial" w:hAnsi="Arial"/>
          <w:sz w:val="22"/>
          <w:szCs w:val="22"/>
        </w:rPr>
        <w:t xml:space="preserve">Does Morris have any financial interest, equity stake, consulting agreement, or anticipated future employment with O'Leary Digital, West GenCo, or any of their affiliates or subcontractors?</w:t>
      </w:r>
    </w:p>
    <w:p>
      <w:pPr>
        <w:pStyle w:val="ListParagraph"/>
        <w:numPr>
          <w:ilvl w:val="0"/>
          <w:numId w:val="2"/>
        </w:numPr>
        <w:spacing w:after="60" w:before="60"/>
      </w:pPr>
      <w:r>
        <w:rPr>
          <w:rFonts w:ascii="Arial" w:cs="Arial" w:eastAsia="Arial" w:hAnsi="Arial"/>
          <w:sz w:val="22"/>
          <w:szCs w:val="22"/>
        </w:rPr>
        <w:t xml:space="preserve">What was the specific basis for Morris's 'redundant fiber' claim — which two carriers or routes did he understand to constitute the claimed redundancy, and did he verify that claim against FCC data before making it publicly?</w:t>
      </w:r>
    </w:p>
    <w:p>
      <w:pPr>
        <w:pStyle w:val="ListParagraph"/>
        <w:numPr>
          <w:ilvl w:val="0"/>
          <w:numId w:val="2"/>
        </w:numPr>
        <w:spacing w:after="60" w:before="60"/>
      </w:pPr>
      <w:r>
        <w:rPr>
          <w:rFonts w:ascii="Arial" w:cs="Arial" w:eastAsia="Arial" w:hAnsi="Arial"/>
          <w:sz w:val="22"/>
          <w:szCs w:val="22"/>
        </w:rPr>
        <w:t xml:space="preserve">Did Morris conduct any conflict-of-interest review of MIDA board members prior to the April 24, 2026 vote? If so, what did that review find and why were no disclosures required?</w:t>
      </w:r>
    </w:p>
    <w:p>
      <w:pPr>
        <w:pStyle w:val="ListParagraph"/>
        <w:numPr>
          <w:ilvl w:val="0"/>
          <w:numId w:val="2"/>
        </w:numPr>
        <w:spacing w:after="60" w:before="60"/>
      </w:pPr>
      <w:r>
        <w:rPr>
          <w:rFonts w:ascii="Arial" w:cs="Arial" w:eastAsia="Arial" w:hAnsi="Arial"/>
          <w:sz w:val="22"/>
          <w:szCs w:val="22"/>
        </w:rPr>
        <w:t xml:space="preserve">Did Morris seek outside independent legal counsel for the Stratos approval given his dual role as project advocate and General Counsel?</w:t>
      </w:r>
    </w:p>
    <w:p>
      <w:pPr>
        <w:pStyle w:val="ListParagraph"/>
        <w:numPr>
          <w:ilvl w:val="0"/>
          <w:numId w:val="2"/>
        </w:numPr>
        <w:spacing w:after="60" w:before="60"/>
      </w:pPr>
      <w:r>
        <w:rPr>
          <w:rFonts w:ascii="Arial" w:cs="Arial" w:eastAsia="Arial" w:hAnsi="Arial"/>
          <w:sz w:val="22"/>
          <w:szCs w:val="22"/>
        </w:rPr>
        <w:t xml:space="preserve">What due diligence did Morris conduct regarding the developer's financial capacity — specifically the $4B+ Phase 1 capital requirement against the $20M actually in hand at time of approval?</w:t>
      </w:r>
    </w:p>
    <w:p>
      <w:pPr>
        <w:pStyle w:val="ListParagraph"/>
        <w:numPr>
          <w:ilvl w:val="0"/>
          <w:numId w:val="2"/>
        </w:numPr>
        <w:spacing w:after="60" w:before="60"/>
      </w:pPr>
      <w:r>
        <w:rPr>
          <w:rFonts w:ascii="Arial" w:cs="Arial" w:eastAsia="Arial" w:hAnsi="Arial"/>
          <w:sz w:val="22"/>
          <w:szCs w:val="22"/>
        </w:rPr>
        <w:t xml:space="preserve">Did Morris have any communications with Governor Cox's office, GOEO, or CentraCom regarding fiber infrastructure at or near the Stratos site?</w:t>
      </w:r>
    </w:p>
    <w:p>
      <w:pPr>
        <w:pStyle w:val="ListParagraph"/>
        <w:numPr>
          <w:ilvl w:val="0"/>
          <w:numId w:val="2"/>
        </w:numPr>
        <w:spacing w:after="60" w:before="60"/>
      </w:pPr>
      <w:r>
        <w:rPr>
          <w:rFonts w:ascii="Arial" w:cs="Arial" w:eastAsia="Arial" w:hAnsi="Arial"/>
          <w:sz w:val="22"/>
          <w:szCs w:val="22"/>
        </w:rPr>
        <w:t xml:space="preserve">Has Morris been approached about, or is he anticipating, any future role with MIDA, O'Leary Digital, West GenCo, or any Stratos-connected entity following the project's approval?</w:t>
      </w:r>
    </w:p>
    <w:p>
      <w:pPr>
        <w:pStyle w:val="ListParagraph"/>
        <w:numPr>
          <w:ilvl w:val="0"/>
          <w:numId w:val="2"/>
        </w:numPr>
        <w:spacing w:after="60" w:before="60"/>
      </w:pPr>
      <w:r>
        <w:rPr>
          <w:rFonts w:ascii="Arial" w:cs="Arial" w:eastAsia="Arial" w:hAnsi="Arial"/>
          <w:sz w:val="22"/>
          <w:szCs w:val="22"/>
        </w:rPr>
        <w:t xml:space="preserve">What independent expert review, if any, did MIDA commission regarding the Stratos site's fiber, water, and power infrastructure claims before approving the development agreement?</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 EVIDENCE SUBMITTED</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1800"/>
        <w:gridCol w:w="7560"/>
      </w:tblGrid>
      <w:tr>
        <w:tc>
          <w:tcPr>
            <w:tcW w:type="dxa" w:w="180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Exhibit</w:t>
            </w:r>
          </w:p>
        </w:tc>
        <w:tc>
          <w:tcPr>
            <w:tcW w:type="dxa" w:w="7560"/>
            <w:tcBorders>
              <w:top w:val="single" w:color="CCCCCC" w:sz="1"/>
              <w:left w:val="single" w:color="CCCCCC" w:sz="1"/>
              <w:bottom w:val="single" w:color="CCCCCC" w:sz="1"/>
              <w:right w:val="single" w:color="CCCCCC" w:sz="1"/>
            </w:tcBorders>
            <w:shd w:fill="1F3864" w:val="clear"/>
            <w:tcMar>
              <w:top w:type="dxa" w:w="80"/>
              <w:left w:type="dxa" w:w="120"/>
              <w:bottom w:type="dxa" w:w="80"/>
              <w:right w:type="dxa" w:w="120"/>
            </w:tcMar>
          </w:tcPr>
          <w:p>
            <w:r>
              <w:rPr>
                <w:rFonts w:ascii="Arial" w:cs="Arial" w:eastAsia="Arial" w:hAnsi="Arial"/>
                <w:b/>
                <w:bCs/>
                <w:color w:val="FFFFFF"/>
                <w:sz w:val="20"/>
                <w:szCs w:val="20"/>
              </w:rPr>
              <w:t xml:space="preserve">Description</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A</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News reports confirming Morris's public statement citing 'proximity to the Ruby natural gas pipeline and redundant fiber availability' as site advantages — Utah News Dispatch, Yahoo News, KiowaCountyPress (April-May 2026)</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B</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FiberLocator Metro Carriers map — confirms absence of commercial fiber at Hansel Valley</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C</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FiberLocator FCC BDC data — confirms white/no-data hexagons (fiber void) at precise Stratos site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D</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FCC National Broadband Map (June 2025) — federal confirmation of unserved broadband status, western Box Elder County</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E</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MIDA board meeting highlights, April 24, 2026 — confirming Morris's role presenting the project and the unanimous vote</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F</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MIDA development agreement — tax concession terms (energy tax 6% to 0.5%; 80% property tax rebate; letter of completion mechanism) that Morris as General Counsel reviewed and approved</w:t>
            </w:r>
          </w:p>
        </w:tc>
      </w:tr>
      <w:tr>
        <w:tc>
          <w:tcPr>
            <w:tcW w:type="dxa" w:w="18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Exhibit G</w:t>
            </w:r>
          </w:p>
        </w:tc>
        <w:tc>
          <w:tcPr>
            <w:tcW w:type="dxa" w:w="75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Media documentation of capital funding discrepancy — $20M in hand vs $4B+ Phase 1 requirement (Utah Money Watch, May 7, 2026)</w:t>
            </w:r>
          </w:p>
        </w:tc>
      </w:tr>
      <w:tr>
        <w:tc>
          <w:tcPr>
            <w:tcW w:type="dxa" w:w="18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Exhibit H</w:t>
            </w:r>
          </w:p>
        </w:tc>
        <w:tc>
          <w:tcPr>
            <w:tcW w:type="dxa" w:w="75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Wonder Valley Alberta — documentation of stalled project as of early 2026 (The Logic, The Energy Mix) — publicly available information Morris had access to before the approval</w:t>
            </w:r>
          </w:p>
        </w:tc>
      </w:tr>
    </w:tbl>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VIII. RELIEF REQUESTED</w:t>
      </w:r>
    </w:p>
    <w:p>
      <w:pPr>
        <w:spacing w:after="100" w:before="100"/>
      </w:pPr>
      <w:r>
        <w:rPr>
          <w:rFonts w:ascii="Arial" w:cs="Arial" w:eastAsia="Arial" w:hAnsi="Arial"/>
          <w:sz w:val="22"/>
          <w:szCs w:val="22"/>
        </w:rPr>
        <w:t xml:space="preserve">The complainant respectfully requests that the Utah Attorney General and/or the MIDA Board:</w:t>
      </w:r>
    </w:p>
    <w:p>
      <w:pPr>
        <w:spacing w:after="60" w:before="60"/>
      </w:pPr>
      <w:r>
        <w:t xml:space="preserve"/>
      </w:r>
    </w:p>
    <w:p>
      <w:pPr>
        <w:pStyle w:val="ListParagraph"/>
        <w:numPr>
          <w:ilvl w:val="0"/>
          <w:numId w:val="2"/>
        </w:numPr>
        <w:spacing w:after="60" w:before="60"/>
      </w:pPr>
      <w:r>
        <w:rPr>
          <w:rFonts w:ascii="Arial" w:cs="Arial" w:eastAsia="Arial" w:hAnsi="Arial"/>
          <w:sz w:val="22"/>
          <w:szCs w:val="22"/>
        </w:rPr>
        <w:t xml:space="preserve">Open a formal investigation into Paul Morris's conduct under UCA 67-16 as described herein;</w:t>
      </w:r>
    </w:p>
    <w:p>
      <w:pPr>
        <w:pStyle w:val="ListParagraph"/>
        <w:numPr>
          <w:ilvl w:val="0"/>
          <w:numId w:val="2"/>
        </w:numPr>
        <w:spacing w:after="60" w:before="60"/>
      </w:pPr>
      <w:r>
        <w:rPr>
          <w:rFonts w:ascii="Arial" w:cs="Arial" w:eastAsia="Arial" w:hAnsi="Arial"/>
          <w:sz w:val="22"/>
          <w:szCs w:val="22"/>
        </w:rPr>
        <w:t xml:space="preserve">Compel production of all financial disclosure statements Morris has filed as a public officer from 2020 to present;</w:t>
      </w:r>
    </w:p>
    <w:p>
      <w:pPr>
        <w:pStyle w:val="ListParagraph"/>
        <w:numPr>
          <w:ilvl w:val="0"/>
          <w:numId w:val="2"/>
        </w:numPr>
        <w:spacing w:after="60" w:before="60"/>
      </w:pPr>
      <w:r>
        <w:rPr>
          <w:rFonts w:ascii="Arial" w:cs="Arial" w:eastAsia="Arial" w:hAnsi="Arial"/>
          <w:sz w:val="22"/>
          <w:szCs w:val="22"/>
        </w:rPr>
        <w:t xml:space="preserve">Investigate whether Morris has any financial relationship — current, anticipated, or past — with O'Leary Digital, West GenCo, or any Stratos-connected party;</w:t>
      </w:r>
    </w:p>
    <w:p>
      <w:pPr>
        <w:pStyle w:val="ListParagraph"/>
        <w:numPr>
          <w:ilvl w:val="0"/>
          <w:numId w:val="2"/>
        </w:numPr>
        <w:spacing w:after="60" w:before="60"/>
      </w:pPr>
      <w:r>
        <w:rPr>
          <w:rFonts w:ascii="Arial" w:cs="Arial" w:eastAsia="Arial" w:hAnsi="Arial"/>
          <w:sz w:val="22"/>
          <w:szCs w:val="22"/>
        </w:rPr>
        <w:t xml:space="preserve">Subpoena or GRAMA-request all communications between Morris and Governor Cox's office, GOEO, CentraCom, O'Leary Digital, and West GenCo from January 2025 to present;</w:t>
      </w:r>
    </w:p>
    <w:p>
      <w:pPr>
        <w:pStyle w:val="ListParagraph"/>
        <w:numPr>
          <w:ilvl w:val="0"/>
          <w:numId w:val="2"/>
        </w:numPr>
        <w:spacing w:after="60" w:before="60"/>
      </w:pPr>
      <w:r>
        <w:rPr>
          <w:rFonts w:ascii="Arial" w:cs="Arial" w:eastAsia="Arial" w:hAnsi="Arial"/>
          <w:sz w:val="22"/>
          <w:szCs w:val="22"/>
        </w:rPr>
        <w:t xml:space="preserve">Investigate the factual basis for Morris's 'redundant fiber' claim and whether it constitutes a knowing misrepresentation to a government body (Box Elder County commissioners);</w:t>
      </w:r>
    </w:p>
    <w:p>
      <w:pPr>
        <w:pStyle w:val="ListParagraph"/>
        <w:numPr>
          <w:ilvl w:val="0"/>
          <w:numId w:val="2"/>
        </w:numPr>
        <w:spacing w:after="60" w:before="60"/>
      </w:pPr>
      <w:r>
        <w:rPr>
          <w:rFonts w:ascii="Arial" w:cs="Arial" w:eastAsia="Arial" w:hAnsi="Arial"/>
          <w:sz w:val="22"/>
          <w:szCs w:val="22"/>
        </w:rPr>
        <w:t xml:space="preserve">If investigation reveals knowing and intentional violations under UCA 67-16 exceeding $1,000 in value, initiate felony prosecution proceedings under UCA 67-16-12;</w:t>
      </w:r>
    </w:p>
    <w:p>
      <w:pPr>
        <w:pStyle w:val="ListParagraph"/>
        <w:numPr>
          <w:ilvl w:val="0"/>
          <w:numId w:val="2"/>
        </w:numPr>
        <w:spacing w:after="60" w:before="60"/>
      </w:pPr>
      <w:r>
        <w:rPr>
          <w:rFonts w:ascii="Arial" w:cs="Arial" w:eastAsia="Arial" w:hAnsi="Arial"/>
          <w:sz w:val="22"/>
          <w:szCs w:val="22"/>
        </w:rPr>
        <w:t xml:space="preserve">If investigation reveals Morris provided no independent legal oversight of board member conflicts, determine whether MIDA's approval is void or voidable on procedural grounds;</w:t>
      </w:r>
    </w:p>
    <w:p>
      <w:pPr>
        <w:pStyle w:val="ListParagraph"/>
        <w:numPr>
          <w:ilvl w:val="0"/>
          <w:numId w:val="2"/>
        </w:numPr>
        <w:spacing w:after="60" w:before="60"/>
      </w:pPr>
      <w:r>
        <w:rPr>
          <w:rFonts w:ascii="Arial" w:cs="Arial" w:eastAsia="Arial" w:hAnsi="Arial"/>
          <w:sz w:val="22"/>
          <w:szCs w:val="22"/>
        </w:rPr>
        <w:t xml:space="preserve">Refer findings to the Utah State Bar's Office of Professional Conduct regarding Morris's conduct as an attorney in the dual Executive Director/General Counsel role.</w:t>
      </w:r>
    </w:p>
    <w:p>
      <w:pPr>
        <w:spacing w:after="60" w:before="60"/>
      </w:pPr>
      <w:r>
        <w:t xml:space="preserve"/>
      </w:r>
    </w:p>
    <w:p>
      <w:pPr>
        <w:spacing w:after="60" w:before="60"/>
      </w:pPr>
      <w:r>
        <w:t xml:space="preserve"/>
      </w:r>
    </w:p>
    <w:p>
      <w:pPr>
        <w:pStyle w:val="Heading1"/>
        <w:spacing w:after="160" w:before="360"/>
      </w:pPr>
      <w:r>
        <w:rPr>
          <w:rFonts w:ascii="Arial" w:cs="Arial" w:eastAsia="Arial" w:hAnsi="Arial"/>
          <w:b/>
          <w:bCs/>
          <w:color w:val="1F3864"/>
          <w:sz w:val="28"/>
          <w:szCs w:val="28"/>
        </w:rPr>
        <w:t xml:space="preserve">IX. COMPLAINANT CERTIFICATION</w:t>
      </w:r>
    </w:p>
    <w:p>
      <w:pPr>
        <w:spacing w:after="100" w:before="100"/>
      </w:pPr>
      <w:r>
        <w:rPr>
          <w:rFonts w:ascii="Arial" w:cs="Arial" w:eastAsia="Arial" w:hAnsi="Arial"/>
          <w:sz w:val="22"/>
          <w:szCs w:val="22"/>
        </w:rPr>
        <w:t xml:space="preserve">The complainant submits this complaint in good faith based on publicly available evidence and certifies that the facts stated herein are true to the best of their knowledge and belief.</w:t>
      </w:r>
    </w:p>
    <w:p>
      <w:pPr>
        <w:spacing w:after="60" w:before="60"/>
      </w:pPr>
      <w:r>
        <w:t xml:space="preserve"/>
      </w:r>
    </w:p>
    <w:p>
      <w:pPr>
        <w:spacing w:after="60" w:before="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400"/>
        <w:gridCol w:w="6960"/>
      </w:tblGrid>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Complainant Name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[COMPLAINANT — PRINT NAME]</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Address</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[ADDRESS]</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Phone / Email</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[PHONE] | [EMAIL]</w:t>
            </w:r>
          </w:p>
        </w:tc>
      </w:tr>
      <w:tr>
        <w:tc>
          <w:tcPr>
            <w:tcW w:type="dxa" w:w="240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b/>
                <w:bCs/>
                <w:sz w:val="20"/>
                <w:szCs w:val="20"/>
              </w:rPr>
              <w:t xml:space="preserve">Signature</w:t>
            </w:r>
          </w:p>
        </w:tc>
        <w:tc>
          <w:tcPr>
            <w:tcW w:type="dxa" w:w="6960"/>
            <w:tcBorders>
              <w:top w:val="single" w:color="CCCCCC" w:sz="1"/>
              <w:left w:val="single" w:color="CCCCCC" w:sz="1"/>
              <w:bottom w:val="single" w:color="CCCCCC" w:sz="1"/>
              <w:right w:val="single" w:color="CCCCCC" w:sz="1"/>
            </w:tcBorders>
            <w:shd w:fill="F7F9FD" w:val="clear"/>
            <w:tcMar>
              <w:top w:type="dxa" w:w="80"/>
              <w:left w:type="dxa" w:w="120"/>
              <w:bottom w:type="dxa" w:w="80"/>
              <w:right w:type="dxa" w:w="120"/>
            </w:tcMar>
          </w:tcPr>
          <w:p>
            <w:r>
              <w:rPr>
                <w:rFonts w:ascii="Arial" w:cs="Arial" w:eastAsia="Arial" w:hAnsi="Arial"/>
                <w:sz w:val="20"/>
                <w:szCs w:val="20"/>
              </w:rPr>
              <w:t xml:space="preserve">_________________________________</w:t>
            </w:r>
          </w:p>
        </w:tc>
      </w:tr>
      <w:tr>
        <w:tc>
          <w:tcPr>
            <w:tcW w:type="dxa" w:w="2400"/>
            <w:tcBorders>
              <w:top w:val="single" w:color="CCCCCC" w:sz="1"/>
              <w:left w:val="single" w:color="CCCCCC" w:sz="1"/>
              <w:bottom w:val="single" w:color="CCCCCC" w:sz="1"/>
              <w:right w:val="single" w:color="CCCCCC" w:sz="1"/>
            </w:tcBorders>
            <w:shd w:fill="EEF3FA" w:val="clear"/>
            <w:tcMar>
              <w:top w:type="dxa" w:w="80"/>
              <w:left w:type="dxa" w:w="120"/>
              <w:bottom w:type="dxa" w:w="80"/>
              <w:right w:type="dxa" w:w="120"/>
            </w:tcMar>
          </w:tcPr>
          <w:p>
            <w:r>
              <w:rPr>
                <w:rFonts w:ascii="Arial" w:cs="Arial" w:eastAsia="Arial" w:hAnsi="Arial"/>
                <w:b/>
                <w:bCs/>
                <w:sz w:val="20"/>
                <w:szCs w:val="20"/>
              </w:rPr>
              <w:t xml:space="preserve">Date</w:t>
            </w:r>
          </w:p>
        </w:tc>
        <w:tc>
          <w:tcPr>
            <w:tcW w:type="dxa" w:w="69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0"/>
                <w:szCs w:val="20"/>
              </w:rPr>
              <w:t xml:space="preserve">________________</w:t>
            </w:r>
          </w:p>
        </w:tc>
      </w:tr>
    </w:tbl>
    <w:p>
      <w:pPr>
        <w:spacing w:after="60" w:before="60"/>
      </w:pPr>
      <w:r>
        <w:t xml:space="preserve"/>
      </w:r>
    </w:p>
    <w:p>
      <w:pPr>
        <w:spacing w:after="60" w:before="60"/>
      </w:pPr>
      <w:r>
        <w:t xml:space="preserve"/>
      </w:r>
    </w:p>
    <w:p>
      <w:pPr>
        <w:pBdr>
          <w:bottom w:val="single" w:color="2E5496" w:sz="4" w:space="1"/>
        </w:pBdr>
        <w:spacing w:after="160" w:before="160"/>
      </w:pPr>
      <w:r>
        <w:t xml:space="preserve"/>
      </w:r>
    </w:p>
    <w:p>
      <w:pPr>
        <w:spacing w:after="40" w:before="80"/>
        <w:jc w:val="center"/>
      </w:pPr>
      <w:r>
        <w:rPr>
          <w:rFonts w:ascii="Arial" w:cs="Arial" w:eastAsia="Arial" w:hAnsi="Arial"/>
          <w:i/>
          <w:iCs/>
          <w:color w:val="666666"/>
          <w:sz w:val="18"/>
          <w:szCs w:val="18"/>
        </w:rPr>
        <w:t xml:space="preserve">Filed with: MIDA Board Chair (J. Stuart Adams) AND Utah Attorney General (Derek Brown)</w:t>
      </w:r>
    </w:p>
    <w:p>
      <w:pPr>
        <w:spacing w:after="80" w:before="0"/>
        <w:jc w:val="center"/>
      </w:pPr>
      <w:r>
        <w:rPr>
          <w:rFonts w:ascii="Arial" w:cs="Arial" w:eastAsia="Arial" w:hAnsi="Arial"/>
          <w:i/>
          <w:iCs/>
          <w:color w:val="666666"/>
          <w:sz w:val="18"/>
          <w:szCs w:val="18"/>
        </w:rPr>
        <w:t xml:space="preserve">Utah Attorney General | 160 East 300 South, 6th Floor, Salt Lake City, UT 84114 | 801-366-0260</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60"/>
      <w:outlineLvl w:val="0"/>
    </w:pPr>
    <w:rPr>
      <w:rFonts w:ascii="Arial" w:cs="Arial" w:eastAsia="Arial" w:hAnsi="Arial"/>
      <w:b/>
      <w:bCs/>
      <w:color w:val="1F3864"/>
      <w:sz w:val="28"/>
      <w:szCs w:val="28"/>
    </w:rPr>
  </w:style>
  <w:style w:type="paragraph" w:styleId="Heading2">
    <w:name w:val="Heading 2"/>
    <w:basedOn w:val="Normal"/>
    <w:next w:val="Normal"/>
    <w:qFormat/>
    <w:pPr>
      <w:spacing w:after="120" w:before="280"/>
      <w:outlineLvl w:val="1"/>
    </w:pPr>
    <w:rPr>
      <w:rFonts w:ascii="Arial" w:cs="Arial" w:eastAsia="Arial" w:hAnsi="Arial"/>
      <w:b/>
      <w:bCs/>
      <w:color w:val="2E5496"/>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2026-05-16T04:36:28.327Z</dcterms:created>
  <dcterms:modified xsi:type="dcterms:W3CDTF">2026-05-16T04:36:28.329Z</dcterms:modified>
</cp:coreProperties>
</file>

<file path=docProps/custom.xml><?xml version="1.0" encoding="utf-8"?>
<Properties xmlns="http://schemas.openxmlformats.org/officeDocument/2006/custom-properties" xmlns:vt="http://schemas.openxmlformats.org/officeDocument/2006/docPropsVTypes"/>
</file>