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1F3864"/>
          <w:sz w:val="26"/>
          <w:szCs w:val="26"/>
        </w:rPr>
        <w:t xml:space="preserve">UTAH OFFICE OF PROFESSIONAL CONDUCT</w:t>
      </w:r>
    </w:p>
    <w:p>
      <w:pPr>
        <w:spacing w:after="80" w:before="0"/>
        <w:jc w:val="center"/>
      </w:pPr>
      <w:r>
        <w:rPr>
          <w:rFonts w:ascii="Arial" w:cs="Arial" w:eastAsia="Arial" w:hAnsi="Arial"/>
          <w:color w:val="555555"/>
          <w:sz w:val="20"/>
          <w:szCs w:val="20"/>
        </w:rPr>
        <w:t xml:space="preserve">Utah State Bar  |  645 South 200 East, Salt Lake City, Utah 84111  |  opcutah.org</w:t>
      </w:r>
    </w:p>
    <w:p>
      <w:pPr>
        <w:pBdr>
          <w:bottom w:val="single" w:color="2E5496" w:sz="4" w:space="1"/>
        </w:pBdr>
        <w:spacing w:after="160" w:before="160"/>
      </w:pPr>
      <w:r>
        <w:t xml:space="preserve"/>
      </w:r>
    </w:p>
    <w:p>
      <w:pPr>
        <w:spacing w:after="120" w:before="240"/>
        <w:jc w:val="center"/>
      </w:pPr>
      <w:r>
        <w:rPr>
          <w:rFonts w:ascii="Arial" w:cs="Arial" w:eastAsia="Arial" w:hAnsi="Arial"/>
          <w:b/>
          <w:bCs/>
          <w:color w:val="8B0000"/>
          <w:sz w:val="32"/>
          <w:szCs w:val="32"/>
        </w:rPr>
        <w:t xml:space="preserve">FORMAL COMPLAINT OF ATTORNEY MISCONDUCT</w:t>
      </w:r>
    </w:p>
    <w:p>
      <w:pPr>
        <w:spacing w:after="240" w:before="0"/>
        <w:jc w:val="center"/>
      </w:pPr>
      <w:r>
        <w:rPr>
          <w:rFonts w:ascii="Arial" w:cs="Arial" w:eastAsia="Arial" w:hAnsi="Arial"/>
          <w:i/>
          <w:iCs/>
          <w:color w:val="555555"/>
          <w:sz w:val="20"/>
          <w:szCs w:val="20"/>
        </w:rPr>
        <w:t xml:space="preserve">Pursuant to Utah Supreme Court Rules of Professional Practice (URPC) and Rules of Discipline, Disability and Sanctions (RDDS)</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 Attorney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Michael J. Ostermiller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Utah Bar Number</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[TO BE CONFIRMED — search at utahbar.org/directory]</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Firm</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Kyler, Kohler, Ostermiller &amp; Sorensen, LLP (KKOS Lawyers)
68 South Main Street, Suite 600, Salt Lake City, UT 84101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Complainant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[COMPLAINANT NAME]
[Address] | [Phone] | [Email]</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 of Complaint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Rules Alleged Violated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URPC Rule 1.7 (Conflict of Interest: Current Clients); URPC Rule 1.11 (Special Conflicts — Government Service); URPC Rule 8.4(d) (Conduct Prejudicial to Administration of Justice)</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Subject Matter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Ostermiller serves simultaneously as a registered lobbyist/legislative advocate for private clients with MIDA-related interests AND as a voting member of the MIDA board — the quasi-governmental authority he advocates before — creating irreconcilable conflicts of interest under the Utah Rules of Professional Conduct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Filing Office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Office of Professional Conduct (OPC), Utah State Bar
opcutah.org | 801-531-9077</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IMPORTANT</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Unlike ethics commission complaints, OPC complaints are NOT automatically confidential. The OPC may share this complaint with the respondent attorney. Do not include information in this filing that you are not prepared to have disclosed. However, OPC investigation files are generally not public records unless formal discipline is imposed.</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This complaint concerns a structural conflict of interest that goes to the heart of the Utah Rules of Professional Conduct's prohibitions on lawyer conduct in government roles. Michael J. Ostermiller is a partner at Kyler, Kohler, Ostermiller &amp; Sorensen, LLP (KKOS Lawyers), where his practice is dedicated to government affairs, legislative advocacy, lobbying, and political consulting. He is a registered lobbyist before the Utah Legislature and represents private clients — including real estate, construction, utilities, land use, and development interests — in matters before Utah's governmental and quasi-governmental bodies.</w:t>
      </w:r>
    </w:p>
    <w:p>
      <w:pPr>
        <w:spacing w:after="60" w:before="60"/>
      </w:pPr>
      <w:r>
        <w:t xml:space="preserve"/>
      </w:r>
    </w:p>
    <w:p>
      <w:pPr>
        <w:spacing w:after="100" w:before="100"/>
      </w:pPr>
      <w:r>
        <w:rPr>
          <w:rFonts w:ascii="Arial" w:cs="Arial" w:eastAsia="Arial" w:hAnsi="Arial"/>
          <w:sz w:val="22"/>
          <w:szCs w:val="22"/>
        </w:rPr>
        <w:t xml:space="preserve">At the same time, Ostermiller has served since 2008 as a voting member of the Military Installation Development Authority (MIDA) — a Utah quasi-governmental authority with the power to bypass county zoning, levy taxes, issue bonds, and approve major development projects. On April 24, 2026, he voted as a MIDA board member to unanimously approve the Stratos Project: a proposed 40,000-acre, 9-gigawatt hyperscale AI data center in Box Elder County — potentially the largest development approval in Utah history.</w:t>
      </w:r>
    </w:p>
    <w:p>
      <w:pPr>
        <w:spacing w:after="60" w:before="60"/>
      </w:pPr>
      <w:r>
        <w:t xml:space="preserve"/>
      </w:r>
    </w:p>
    <w:p>
      <w:pPr>
        <w:spacing w:after="100" w:before="100"/>
      </w:pPr>
      <w:r>
        <w:rPr>
          <w:rFonts w:ascii="Arial" w:cs="Arial" w:eastAsia="Arial" w:hAnsi="Arial"/>
          <w:sz w:val="22"/>
          <w:szCs w:val="22"/>
        </w:rPr>
        <w:t xml:space="preserve">The conflict is not incidental. It is structural and ongoing. KKOS Lawyers' entire government relations practice is built on influencing the same class of governmental and quasi-governmental bodies on which Ostermiller simultaneously sits as a voting decision-maker. His firm explicitly markets its ability to secure approvals, tax policy outcomes, and land-use decisions — the precise categories of decisions MIDA makes. The Utah Rules of Professional Conduct do not permit a lawyer to occupy both sides of that line without rigorous conflict analysis, disclosure, and where necessary, recusal.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CORE ALLEGATION</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Ostermiller is a registered lobbyist and legislative advocate for private clients with interests in the real estate, construction, utilities, and development sectors — the exact industries that benefit from MIDA approvals. He simultaneously holds a voting seat on MIDA itself. This dual role creates an ongoing, structural conflict of interest under URPC Rule 1.7 and Rule 1.11, compounded by conduct prejudicial to the administration of justice under Rule 8.4(d).</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RESPONDENT — MICHAEL J. OSTERMILLER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Michael J. Ostermiller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Firm</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Kyler, Kohler, Ostermiller &amp; Sorensen, LLP (KKOS Lawyers)</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Practice Area</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Government relations, legislative advocacy, lobbying, political consulting, PAC management, campaign finance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Lobbying Registration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Registered lobbyist and legislative advocate, State of Utah</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Clients (as publicly described)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Real estate professionals (Utah Association of Realtors), Utah Property Rights Coalition, construction companies, utilities, large corporations, health care, land use/development, think tanks, finance, transportation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MIDA Role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Voting Member, MIDA Board — appointed 2008; currently serves as Board's representative to MIDA staff</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MIDA Vote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Voted in favor of unanimous approval of Stratos Project, April 24, 2026 (participated virtually per MIDA board meeting highlights)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Education</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B.S., Philosophy and Political Science (magna cum laude), University of Utah; J.D., J. Reuben Clark Law School, BYU</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MIDA Board Description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MIDA's own website describes Ostermiller's practice as emphasizing 'legislative advocacy, lobbying, and local government affairs' — the same activities he conducts for private clients</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MIDA — Its Powers and Why the Conflict Matters</w:t>
      </w:r>
    </w:p>
    <w:p>
      <w:pPr>
        <w:spacing w:after="100" w:before="100"/>
      </w:pPr>
      <w:r>
        <w:rPr>
          <w:rFonts w:ascii="Arial" w:cs="Arial" w:eastAsia="Arial" w:hAnsi="Arial"/>
          <w:sz w:val="22"/>
          <w:szCs w:val="22"/>
        </w:rPr>
        <w:t xml:space="preserve">The Military Installation Development Authority (MIDA) is a Utah quasi-governmental authority created under Utah Code Title 63H-1. Its powers are extraordinary: it can bypass normal county zoning, approve development agreements worth billions of dollars, levy municipal energy taxes, issue bonds, and grant or structure tax concessions for private developers. Decisions made by MIDA's voting board directly affect the interests of the real estate, construction, utility, land-use, and development industries — precisely the industries Ostermiller's law firm represents as clients before the Legislature and government bodies.</w:t>
      </w:r>
    </w:p>
    <w:p>
      <w:pPr>
        <w:spacing w:after="60" w:before="60"/>
      </w:pPr>
      <w:r>
        <w:t xml:space="preserve"/>
      </w:r>
    </w:p>
    <w:p>
      <w:pPr>
        <w:spacing w:after="100" w:before="100"/>
      </w:pPr>
      <w:r>
        <w:rPr>
          <w:rFonts w:ascii="Arial" w:cs="Arial" w:eastAsia="Arial" w:hAnsi="Arial"/>
          <w:sz w:val="22"/>
          <w:szCs w:val="22"/>
        </w:rPr>
        <w:t xml:space="preserve">MIDA is not a passive body. It actively approves development agreements, grants tax concessions, and shapes the regulatory landscape for major projects. A lawyer who advocates before — or whose firm represents clients with interests before — any body of this kind has an obvious conflict in simultaneously sitting as a voting member of that body.</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B. KKOS Lawyers — Ostermiller's Government Relations Practice</w:t>
      </w:r>
    </w:p>
    <w:p>
      <w:pPr>
        <w:spacing w:after="100" w:before="100"/>
      </w:pPr>
      <w:r>
        <w:rPr>
          <w:rFonts w:ascii="Arial" w:cs="Arial" w:eastAsia="Arial" w:hAnsi="Arial"/>
          <w:sz w:val="22"/>
          <w:szCs w:val="22"/>
        </w:rPr>
        <w:t xml:space="preserve">KKOS Lawyers' government relations practice, as described on its own website, includes: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Legislative advocacy and lobbying for clients before the Utah Legislature and Utah government bodies</w:t>
      </w:r>
    </w:p>
    <w:p>
      <w:pPr>
        <w:pStyle w:val="ListParagraph"/>
        <w:numPr>
          <w:ilvl w:val="0"/>
          <w:numId w:val="2"/>
        </w:numPr>
        <w:spacing w:after="60" w:before="60"/>
      </w:pPr>
      <w:r>
        <w:rPr>
          <w:rFonts w:ascii="Arial" w:cs="Arial" w:eastAsia="Arial" w:hAnsi="Arial"/>
          <w:sz w:val="22"/>
          <w:szCs w:val="22"/>
        </w:rPr>
        <w:t xml:space="preserve">Representation of real estate professionals, construction companies, utilities, large corporations, land-use and development interests, health care entities, and think tanks</w:t>
      </w:r>
    </w:p>
    <w:p>
      <w:pPr>
        <w:pStyle w:val="ListParagraph"/>
        <w:numPr>
          <w:ilvl w:val="0"/>
          <w:numId w:val="2"/>
        </w:numPr>
        <w:spacing w:after="60" w:before="60"/>
      </w:pPr>
      <w:r>
        <w:rPr>
          <w:rFonts w:ascii="Arial" w:cs="Arial" w:eastAsia="Arial" w:hAnsi="Arial"/>
          <w:sz w:val="22"/>
          <w:szCs w:val="22"/>
        </w:rPr>
        <w:t xml:space="preserve">PAC management, campaign fundraising, and campaign finance law — including managing what the firm describes as 'the largest PAC in the State of Utah'</w:t>
      </w:r>
    </w:p>
    <w:p>
      <w:pPr>
        <w:pStyle w:val="ListParagraph"/>
        <w:numPr>
          <w:ilvl w:val="0"/>
          <w:numId w:val="2"/>
        </w:numPr>
        <w:spacing w:after="60" w:before="60"/>
      </w:pPr>
      <w:r>
        <w:rPr>
          <w:rFonts w:ascii="Arial" w:cs="Arial" w:eastAsia="Arial" w:hAnsi="Arial"/>
          <w:sz w:val="22"/>
          <w:szCs w:val="22"/>
        </w:rPr>
        <w:t xml:space="preserve">Assistance with 'legislative drafting, campaigning, fund-raising, PAC money disbursement, and lobbying'</w:t>
      </w:r>
    </w:p>
    <w:p>
      <w:pPr>
        <w:pStyle w:val="ListParagraph"/>
        <w:numPr>
          <w:ilvl w:val="0"/>
          <w:numId w:val="2"/>
        </w:numPr>
        <w:spacing w:after="60" w:before="60"/>
      </w:pPr>
      <w:r>
        <w:rPr>
          <w:rFonts w:ascii="Arial" w:cs="Arial" w:eastAsia="Arial" w:hAnsi="Arial"/>
          <w:sz w:val="22"/>
          <w:szCs w:val="22"/>
        </w:rPr>
        <w:t xml:space="preserve">Federal, state, and local government relations advocacy</w:t>
      </w:r>
    </w:p>
    <w:p>
      <w:pPr>
        <w:spacing w:after="60" w:before="60"/>
      </w:pPr>
      <w:r>
        <w:t xml:space="preserve"/>
      </w:r>
    </w:p>
    <w:p>
      <w:pPr>
        <w:spacing w:after="100" w:before="100"/>
      </w:pPr>
      <w:r>
        <w:rPr>
          <w:rFonts w:ascii="Arial" w:cs="Arial" w:eastAsia="Arial" w:hAnsi="Arial"/>
          <w:sz w:val="22"/>
          <w:szCs w:val="22"/>
        </w:rPr>
        <w:t xml:space="preserve">The firm explicitly states its practice philosophy: 'They have built their practice on the foundation that winning is everything. Their clients come to them and stay with them because they win.'</w:t>
      </w:r>
    </w:p>
    <w:p>
      <w:pPr>
        <w:spacing w:after="60" w:before="60"/>
      </w:pPr>
      <w:r>
        <w:t xml:space="preserve"/>
      </w:r>
    </w:p>
    <w:p>
      <w:pPr>
        <w:spacing w:after="100" w:before="100"/>
      </w:pPr>
      <w:r>
        <w:rPr>
          <w:rFonts w:ascii="Arial" w:cs="Arial" w:eastAsia="Arial" w:hAnsi="Arial"/>
          <w:sz w:val="22"/>
          <w:szCs w:val="22"/>
        </w:rPr>
        <w:t xml:space="preserve">This is not incidental background. It establishes that Ostermiller's entire professional practice — and his firm's competitive value proposition — depends on his ability to influence government bodies. His seat on MIDA is not separate from that practice. It is, structurally, part of it: the most direct form of influence a government relations lawyer can exercise is voting membership on the body whose decisions affect his clients.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C. The Structural Conflict — Two Sides of the Same Line</w:t>
      </w:r>
    </w:p>
    <w:p>
      <w:pPr>
        <w:spacing w:after="100" w:before="100"/>
      </w:pPr>
      <w:r>
        <w:rPr>
          <w:rFonts w:ascii="Arial" w:cs="Arial" w:eastAsia="Arial" w:hAnsi="Arial"/>
          <w:sz w:val="22"/>
          <w:szCs w:val="22"/>
        </w:rPr>
        <w:t xml:space="preserve">The Rules of Professional Conduct draw a clear line: a lawyer cannot represent clients whose interests conflict with each other (Rule 1.7), and a lawyer serving in a government role is subject to special conflict rules that address exactly the problem presented here (Rule 1.11). The problem Ostermiller's dual role creates is not hypothetical:</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KKOS clients in real estate, construction, and development have direct interests in how MIDA exercises its tax, zoning, and approval powers — the very powers Ostermiller votes on as a board member</w:t>
      </w:r>
    </w:p>
    <w:p>
      <w:pPr>
        <w:pStyle w:val="ListParagraph"/>
        <w:numPr>
          <w:ilvl w:val="0"/>
          <w:numId w:val="2"/>
        </w:numPr>
        <w:spacing w:after="60" w:before="60"/>
      </w:pPr>
      <w:r>
        <w:rPr>
          <w:rFonts w:ascii="Arial" w:cs="Arial" w:eastAsia="Arial" w:hAnsi="Arial"/>
          <w:sz w:val="22"/>
          <w:szCs w:val="22"/>
        </w:rPr>
        <w:t xml:space="preserve">KKOS clients in utilities have interests in the energy tax and infrastructure decisions MIDA makes — including the energy tax cut from 6% to 0.5% approved for the Stratos Project</w:t>
      </w:r>
    </w:p>
    <w:p>
      <w:pPr>
        <w:pStyle w:val="ListParagraph"/>
        <w:numPr>
          <w:ilvl w:val="0"/>
          <w:numId w:val="2"/>
        </w:numPr>
        <w:spacing w:after="60" w:before="60"/>
      </w:pPr>
      <w:r>
        <w:rPr>
          <w:rFonts w:ascii="Arial" w:cs="Arial" w:eastAsia="Arial" w:hAnsi="Arial"/>
          <w:sz w:val="22"/>
          <w:szCs w:val="22"/>
        </w:rPr>
        <w:t xml:space="preserve">KKOS clients in land use and development benefit from or are affected by the precedents MIDA's approvals set for bypassing normal county zoning</w:t>
      </w:r>
    </w:p>
    <w:p>
      <w:pPr>
        <w:pStyle w:val="ListParagraph"/>
        <w:numPr>
          <w:ilvl w:val="0"/>
          <w:numId w:val="2"/>
        </w:numPr>
        <w:spacing w:after="60" w:before="60"/>
      </w:pPr>
      <w:r>
        <w:rPr>
          <w:rFonts w:ascii="Arial" w:cs="Arial" w:eastAsia="Arial" w:hAnsi="Arial"/>
          <w:sz w:val="22"/>
          <w:szCs w:val="22"/>
        </w:rPr>
        <w:t xml:space="preserve">KKOS's PAC management practice sits in the same financial ecosystem as the Stuart Adams PAC donations — five MIDA-connected donors contributing $135,000 in a single day, seven days after the Stratos approval — raising the question of whether Ostermiller's dual roles touch the campaign finance dimension of the MIDA approval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KEY FACT</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MIDA's own public board biography for Ostermiller states that his practice 'has emphasized legislative advocacy, lobbying, and local government affairs' — the same description that appears on KKOS's website for his paying clients. MIDA itself describes its voting board member as a professional advocate whose livelihood depends on influencing government bodies — including bodies like MIDA.</w:t>
            </w:r>
          </w:p>
        </w:tc>
      </w:tr>
    </w:tbl>
    <w:p>
      <w:pPr>
        <w:spacing w:after="60" w:before="60"/>
      </w:pPr>
      <w:r>
        <w:t xml:space="preserve"/>
      </w:r>
    </w:p>
    <w:p>
      <w:pPr>
        <w:pStyle w:val="Heading2"/>
        <w:spacing w:after="120" w:before="280"/>
      </w:pPr>
      <w:r>
        <w:rPr>
          <w:rFonts w:ascii="Arial" w:cs="Arial" w:eastAsia="Arial" w:hAnsi="Arial"/>
          <w:b/>
          <w:bCs/>
          <w:color w:val="2E5496"/>
          <w:sz w:val="24"/>
          <w:szCs w:val="24"/>
        </w:rPr>
        <w:t xml:space="preserve">D. The April 24, 2026 Vote — Participation in a Billion-Dollar Approval</w:t>
      </w:r>
    </w:p>
    <w:p>
      <w:pPr>
        <w:spacing w:after="100" w:before="100"/>
      </w:pPr>
      <w:r>
        <w:rPr>
          <w:rFonts w:ascii="Arial" w:cs="Arial" w:eastAsia="Arial" w:hAnsi="Arial"/>
          <w:sz w:val="22"/>
          <w:szCs w:val="22"/>
        </w:rPr>
        <w:t xml:space="preserve">On April 24, 2026, Ostermiller participated (virtually) in the MIDA board meeting and voted in favor of five resolutions unanimously approving the Stratos Project, including:</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Resolution 2026-06: Adopting the Stratos Project Area Plan</w:t>
      </w:r>
    </w:p>
    <w:p>
      <w:pPr>
        <w:pStyle w:val="ListParagraph"/>
        <w:numPr>
          <w:ilvl w:val="0"/>
          <w:numId w:val="2"/>
        </w:numPr>
        <w:spacing w:after="60" w:before="60"/>
      </w:pPr>
      <w:r>
        <w:rPr>
          <w:rFonts w:ascii="Arial" w:cs="Arial" w:eastAsia="Arial" w:hAnsi="Arial"/>
          <w:sz w:val="22"/>
          <w:szCs w:val="22"/>
        </w:rPr>
        <w:t xml:space="preserve">Resolution 2026-07: Adopting development standards and guidelines controlling all property development within the Stratos Project Area</w:t>
      </w:r>
    </w:p>
    <w:p>
      <w:pPr>
        <w:pStyle w:val="ListParagraph"/>
        <w:numPr>
          <w:ilvl w:val="0"/>
          <w:numId w:val="2"/>
        </w:numPr>
        <w:spacing w:after="60" w:before="60"/>
      </w:pPr>
      <w:r>
        <w:rPr>
          <w:rFonts w:ascii="Arial" w:cs="Arial" w:eastAsia="Arial" w:hAnsi="Arial"/>
          <w:sz w:val="22"/>
          <w:szCs w:val="22"/>
        </w:rPr>
        <w:t xml:space="preserve">Resolution 2026-08: Approving and authorizing execution of the development agreement with the Master Developer (O'Leary Digital / West GenCo)</w:t>
      </w:r>
    </w:p>
    <w:p>
      <w:pPr>
        <w:pStyle w:val="ListParagraph"/>
        <w:numPr>
          <w:ilvl w:val="0"/>
          <w:numId w:val="2"/>
        </w:numPr>
        <w:spacing w:after="60" w:before="60"/>
      </w:pPr>
      <w:r>
        <w:rPr>
          <w:rFonts w:ascii="Arial" w:cs="Arial" w:eastAsia="Arial" w:hAnsi="Arial"/>
          <w:sz w:val="22"/>
          <w:szCs w:val="22"/>
        </w:rPr>
        <w:t xml:space="preserve">Ordinance 2026-01: Levying a municipal energy sales and use tax in the Stratos Project Area — at a rate of 0.5%, reduced from the standard 6%</w:t>
      </w:r>
    </w:p>
    <w:p>
      <w:pPr>
        <w:pStyle w:val="ListParagraph"/>
        <w:numPr>
          <w:ilvl w:val="0"/>
          <w:numId w:val="2"/>
        </w:numPr>
        <w:spacing w:after="60" w:before="60"/>
      </w:pPr>
      <w:r>
        <w:rPr>
          <w:rFonts w:ascii="Arial" w:cs="Arial" w:eastAsia="Arial" w:hAnsi="Arial"/>
          <w:sz w:val="22"/>
          <w:szCs w:val="22"/>
        </w:rPr>
        <w:t xml:space="preserve">Resolution 2026-09: Approving the Interlocal Cooperation Agreement between MIDA and Box Elder County</w:t>
      </w:r>
    </w:p>
    <w:p>
      <w:pPr>
        <w:spacing w:after="60" w:before="60"/>
      </w:pPr>
      <w:r>
        <w:t xml:space="preserve"/>
      </w:r>
    </w:p>
    <w:p>
      <w:pPr>
        <w:spacing w:after="100" w:before="100"/>
      </w:pPr>
      <w:r>
        <w:rPr>
          <w:rFonts w:ascii="Arial" w:cs="Arial" w:eastAsia="Arial" w:hAnsi="Arial"/>
          <w:sz w:val="22"/>
          <w:szCs w:val="22"/>
        </w:rPr>
        <w:t xml:space="preserve">These approvals collectively confer billions of dollars in tax concessions and development authority on the Stratos developer. They also set precedents for how MIDA exercises its extraordinary bypass-zoning powers — precedents that directly affect the regulatory environment for every client in KKOS's real estate, construction, development, and land-use portfolio.</w:t>
      </w:r>
    </w:p>
    <w:p>
      <w:pPr>
        <w:spacing w:after="60" w:before="60"/>
      </w:pPr>
      <w:r>
        <w:t xml:space="preserve"/>
      </w:r>
    </w:p>
    <w:p>
      <w:pPr>
        <w:spacing w:after="100" w:before="100"/>
      </w:pPr>
      <w:r>
        <w:rPr>
          <w:rFonts w:ascii="Arial" w:cs="Arial" w:eastAsia="Arial" w:hAnsi="Arial"/>
          <w:sz w:val="22"/>
          <w:szCs w:val="22"/>
        </w:rPr>
        <w:t xml:space="preserve">There is no public record that Ostermiller conducted a conflict-of-interest analysis, disclosed any conflicts to MIDA, sought client consent, or recused himself from any portion of the April 24 deliberations or vote.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RULES OF PROFESSIONAL CONDUCT ALLEGEDLY VIOLATED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E5496" w:sz="4"/>
              <w:left w:val="single" w:color="2E5496" w:sz="4"/>
              <w:bottom w:val="single" w:color="2E5496" w:sz="4"/>
              <w:right w:val="single" w:color="2E5496" w:sz="4"/>
            </w:tcBorders>
            <w:shd w:fill="2E5496"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1.7</w:t>
            </w:r>
          </w:p>
          <w:p>
            <w:pPr>
              <w:jc w:val="center"/>
            </w:pPr>
            <w:r>
              <w:rPr>
                <w:rFonts w:ascii="Arial" w:cs="Arial" w:eastAsia="Arial" w:hAnsi="Arial"/>
                <w:i/>
                <w:iCs/>
                <w:color w:val="CCE0FF"/>
                <w:sz w:val="16"/>
                <w:szCs w:val="16"/>
              </w:rPr>
              <w:t xml:space="preserve">Conflict of Interest: Current Clients</w:t>
            </w:r>
          </w:p>
        </w:tc>
        <w:tc>
          <w:tcPr>
            <w:tcW w:type="dxa" w:w="7760"/>
            <w:tcBorders>
              <w:top w:val="single" w:color="2E5496" w:sz="4"/>
              <w:left w:val="single" w:color="2E5496" w:sz="4"/>
              <w:bottom w:val="single" w:color="2E5496" w:sz="4"/>
              <w:right w:val="single" w:color="2E5496" w:sz="4"/>
            </w:tcBorders>
            <w:shd w:fill="F0F4FF" w:val="clear"/>
            <w:tcMar>
              <w:top w:type="dxa" w:w="120"/>
              <w:left w:type="dxa" w:w="160"/>
              <w:bottom w:type="dxa" w:w="120"/>
              <w:right w:type="dxa" w:w="120"/>
            </w:tcMar>
          </w:tcPr>
          <w:p>
            <w:r>
              <w:rPr>
                <w:rFonts w:ascii="Arial" w:cs="Arial" w:eastAsia="Arial" w:hAnsi="Arial"/>
                <w:sz w:val="20"/>
                <w:szCs w:val="20"/>
              </w:rPr>
              <w:t xml:space="preserve">A lawyer shall not represent a client if the representation involves a concurrent conflict of interest — including where there is a significant risk that the representation of one or more clients will be materially limited by the lawyer's responsibilities to another client, a former client, or a third person, or by a personal interest of the lawyer.</w:t>
            </w:r>
          </w:p>
        </w:tc>
      </w:tr>
    </w:tbl>
    <w:p>
      <w:pPr>
        <w:spacing w:after="60" w:before="60"/>
      </w:pPr>
      <w:r>
        <w:t xml:space="preserve"/>
      </w:r>
    </w:p>
    <w:p>
      <w:pPr>
        <w:spacing w:after="100" w:before="100"/>
      </w:pPr>
      <w:r>
        <w:rPr>
          <w:rFonts w:ascii="Arial" w:cs="Arial" w:eastAsia="Arial" w:hAnsi="Arial"/>
          <w:sz w:val="22"/>
          <w:szCs w:val="22"/>
        </w:rPr>
        <w:t xml:space="preserve">Rule 1.7 Application: Ostermiller's personal interest in maintaining and exercising his MIDA voting membership — and the structural benefit that membership provides to his government relations practice and his clients — creates a concurrent conflict with his duty to each client he represents before Utah governmental bodies. His MIDA vote on matters affecting his clients' industries constitutes exactly the kind of conflict Rule 1.7 is designed to prevent. The Utah Supreme Court's own comment to Rule 1.7 specifically addresses lawyers who serve on boards: 'If there is material risk that the dual role will compromise the lawyer's independence of professional judgment, the lawyer should not serve as a director or should cease to act as the corporation's lawyer when conflicts of interest arise.' (SCRP Rule 3-1.07 Comment.)</w:t>
      </w:r>
    </w:p>
    <w:p>
      <w:pPr>
        <w:spacing w:after="60" w:before="60"/>
      </w:pPr>
      <w:r>
        <w:t xml:space="preserve"/>
      </w:r>
    </w:p>
    <w:p>
      <w:pPr>
        <w:spacing w:after="100" w:before="100"/>
      </w:pPr>
      <w:r>
        <w:rPr>
          <w:rFonts w:ascii="Arial" w:cs="Arial" w:eastAsia="Arial" w:hAnsi="Arial"/>
          <w:sz w:val="22"/>
          <w:szCs w:val="22"/>
        </w:rPr>
        <w:t xml:space="preserve">The risk here is not merely material — it is structural and inherent. A lobbyist who votes on the same type of government approvals he advocates for on behalf of paying clients cannot maintain the independence of professional judgment Rule 1.7 requires.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E5496" w:sz="4"/>
              <w:left w:val="single" w:color="2E5496" w:sz="4"/>
              <w:bottom w:val="single" w:color="2E5496" w:sz="4"/>
              <w:right w:val="single" w:color="2E5496" w:sz="4"/>
            </w:tcBorders>
            <w:shd w:fill="2E5496"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1.11</w:t>
            </w:r>
          </w:p>
          <w:p>
            <w:pPr>
              <w:jc w:val="center"/>
            </w:pPr>
            <w:r>
              <w:rPr>
                <w:rFonts w:ascii="Arial" w:cs="Arial" w:eastAsia="Arial" w:hAnsi="Arial"/>
                <w:i/>
                <w:iCs/>
                <w:color w:val="CCE0FF"/>
                <w:sz w:val="16"/>
                <w:szCs w:val="16"/>
              </w:rPr>
              <w:t xml:space="preserve">Special Conflicts — Government Officers and Employees</w:t>
            </w:r>
          </w:p>
        </w:tc>
        <w:tc>
          <w:tcPr>
            <w:tcW w:type="dxa" w:w="7760"/>
            <w:tcBorders>
              <w:top w:val="single" w:color="2E5496" w:sz="4"/>
              <w:left w:val="single" w:color="2E5496" w:sz="4"/>
              <w:bottom w:val="single" w:color="2E5496" w:sz="4"/>
              <w:right w:val="single" w:color="2E5496" w:sz="4"/>
            </w:tcBorders>
            <w:shd w:fill="F0F4FF" w:val="clear"/>
            <w:tcMar>
              <w:top w:type="dxa" w:w="120"/>
              <w:left w:type="dxa" w:w="160"/>
              <w:bottom w:type="dxa" w:w="120"/>
              <w:right w:type="dxa" w:w="120"/>
            </w:tcMar>
          </w:tcPr>
          <w:p>
            <w:r>
              <w:rPr>
                <w:rFonts w:ascii="Arial" w:cs="Arial" w:eastAsia="Arial" w:hAnsi="Arial"/>
                <w:sz w:val="20"/>
                <w:szCs w:val="20"/>
              </w:rPr>
              <w:t xml:space="preserve">A lawyer currently serving as a public officer or employee shall not participate in a matter in which the lawyer participated personally and substantially as a private practitioner, and shall not negotiate for private employment with any person who is involved as a party or as lawyer for a party in a matter in which the lawyer is participating personally and substantially.</w:t>
            </w:r>
          </w:p>
        </w:tc>
      </w:tr>
    </w:tbl>
    <w:p>
      <w:pPr>
        <w:spacing w:after="60" w:before="60"/>
      </w:pPr>
      <w:r>
        <w:t xml:space="preserve"/>
      </w:r>
    </w:p>
    <w:p>
      <w:pPr>
        <w:spacing w:after="100" w:before="100"/>
      </w:pPr>
      <w:r>
        <w:rPr>
          <w:rFonts w:ascii="Arial" w:cs="Arial" w:eastAsia="Arial" w:hAnsi="Arial"/>
          <w:sz w:val="22"/>
          <w:szCs w:val="22"/>
        </w:rPr>
        <w:t xml:space="preserve">Rule 1.11 Application: Rule 1.11 recognizes that lawyers serving in government roles face unique conflicts because their government position and their private practice are intertwined. The comment to Rule 1.11 is explicit: 'A lawyer, who has served or is currently serving as a public officer or employee is personally subject to the Rules of Professional Conduct, including the prohibition against concurrent conflicts of interest stated in Rule 1.7.' Ostermiller is currently serving in a quasi-governmental role (MIDA voting board member) while simultaneously maintaining a private practice in which he advocates before government bodies on behalf of clients — clients whose industries are directly affected by MIDA decisions. This is precisely the conflict Rule 1.11 is designed to address.</w:t>
      </w:r>
    </w:p>
    <w:p>
      <w:pPr>
        <w:spacing w:after="60" w:before="60"/>
      </w:pPr>
      <w:r>
        <w:t xml:space="preserve"/>
      </w:r>
    </w:p>
    <w:p>
      <w:pPr>
        <w:spacing w:after="100" w:before="100"/>
      </w:pPr>
      <w:r>
        <w:rPr>
          <w:rFonts w:ascii="Arial" w:cs="Arial" w:eastAsia="Arial" w:hAnsi="Arial"/>
          <w:sz w:val="22"/>
          <w:szCs w:val="22"/>
        </w:rPr>
        <w:t xml:space="preserve">Furthermore, Ostermiller's firm manages PACs and fundraising for clients — including political advocacy before the Legislature. His simultaneous position on MIDA, which operates under legislation controlled by those same legislators, raises the question of whether his government role and his private advocacy practice are functionally inseparable in ways that violate Rule 1.11's conflict prohibitions.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2E5496" w:sz="4"/>
              <w:left w:val="single" w:color="2E5496" w:sz="4"/>
              <w:bottom w:val="single" w:color="2E5496" w:sz="4"/>
              <w:right w:val="single" w:color="2E5496" w:sz="4"/>
            </w:tcBorders>
            <w:shd w:fill="2E5496"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URPC Rule 8.4(d)</w:t>
            </w:r>
          </w:p>
          <w:p>
            <w:pPr>
              <w:jc w:val="center"/>
            </w:pPr>
            <w:r>
              <w:rPr>
                <w:rFonts w:ascii="Arial" w:cs="Arial" w:eastAsia="Arial" w:hAnsi="Arial"/>
                <w:i/>
                <w:iCs/>
                <w:color w:val="CCE0FF"/>
                <w:sz w:val="16"/>
                <w:szCs w:val="16"/>
              </w:rPr>
              <w:t xml:space="preserve">Conduct Prejudicial to Administration of Justice</w:t>
            </w:r>
          </w:p>
        </w:tc>
        <w:tc>
          <w:tcPr>
            <w:tcW w:type="dxa" w:w="7760"/>
            <w:tcBorders>
              <w:top w:val="single" w:color="2E5496" w:sz="4"/>
              <w:left w:val="single" w:color="2E5496" w:sz="4"/>
              <w:bottom w:val="single" w:color="2E5496" w:sz="4"/>
              <w:right w:val="single" w:color="2E5496" w:sz="4"/>
            </w:tcBorders>
            <w:shd w:fill="F0F4FF" w:val="clear"/>
            <w:tcMar>
              <w:top w:type="dxa" w:w="120"/>
              <w:left w:type="dxa" w:w="160"/>
              <w:bottom w:type="dxa" w:w="120"/>
              <w:right w:type="dxa" w:w="120"/>
            </w:tcMar>
          </w:tcPr>
          <w:p>
            <w:r>
              <w:rPr>
                <w:rFonts w:ascii="Arial" w:cs="Arial" w:eastAsia="Arial" w:hAnsi="Arial"/>
                <w:sz w:val="20"/>
                <w:szCs w:val="20"/>
              </w:rPr>
              <w:t xml:space="preserve">It is professional misconduct for a lawyer to engage in conduct that is prejudicial to the administration of justice.</w:t>
            </w:r>
          </w:p>
        </w:tc>
      </w:tr>
    </w:tbl>
    <w:p>
      <w:pPr>
        <w:spacing w:after="60" w:before="60"/>
      </w:pPr>
      <w:r>
        <w:t xml:space="preserve"/>
      </w:r>
    </w:p>
    <w:p>
      <w:pPr>
        <w:spacing w:after="100" w:before="100"/>
      </w:pPr>
      <w:r>
        <w:rPr>
          <w:rFonts w:ascii="Arial" w:cs="Arial" w:eastAsia="Arial" w:hAnsi="Arial"/>
          <w:sz w:val="22"/>
          <w:szCs w:val="22"/>
        </w:rPr>
        <w:t xml:space="preserve">Rule 8.4(d) Application: A registered lobbyist and legislative advocate who simultaneously holds a voting seat on a quasi-governmental authority — and who exercises that vote on matters affecting his private clients' industries without any public conflict analysis or disclosure — engages in conduct that is structurally prejudicial to the administration of justice. MIDA exercises governmental powers. The integrity of its decision-making depends on board members who are free from the conflicts Ostermiller carries. His participation in the unanimous Stratos approval — the largest development approval in MIDA's history — without any disclosed conflict analysis undermines public confidence in the quasi-governmental process and is prejudicial to its fair administration.</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SPECIFIC QUESTIONS FOR OPC INVESTIGATION</w:t>
      </w:r>
    </w:p>
    <w:p>
      <w:pPr>
        <w:spacing w:after="100" w:before="100"/>
      </w:pPr>
      <w:r>
        <w:rPr>
          <w:rFonts w:ascii="Arial" w:cs="Arial" w:eastAsia="Arial" w:hAnsi="Arial"/>
          <w:sz w:val="22"/>
          <w:szCs w:val="22"/>
        </w:rPr>
        <w:t xml:space="preserve">The OPC is respectfully requested to investigate the following specific questions: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Has Ostermiller ever conducted a formal conflict-of-interest analysis under Rule 1.7 to assess whether his MIDA board membership conflicts with his representation of clients in the real estate, construction, utility, development, and land-use industries?</w:t>
      </w:r>
    </w:p>
    <w:p>
      <w:pPr>
        <w:pStyle w:val="ListParagraph"/>
        <w:numPr>
          <w:ilvl w:val="0"/>
          <w:numId w:val="2"/>
        </w:numPr>
        <w:spacing w:after="60" w:before="60"/>
      </w:pPr>
      <w:r>
        <w:rPr>
          <w:rFonts w:ascii="Arial" w:cs="Arial" w:eastAsia="Arial" w:hAnsi="Arial"/>
          <w:sz w:val="22"/>
          <w:szCs w:val="22"/>
        </w:rPr>
        <w:t xml:space="preserve">Has Ostermiller ever disclosed his MIDA board membership to his private clients whose industries are affected by MIDA decisions, and obtained their informed consent to the conflict as required by Rule 1.7(b)?</w:t>
      </w:r>
    </w:p>
    <w:p>
      <w:pPr>
        <w:pStyle w:val="ListParagraph"/>
        <w:numPr>
          <w:ilvl w:val="0"/>
          <w:numId w:val="2"/>
        </w:numPr>
        <w:spacing w:after="60" w:before="60"/>
      </w:pPr>
      <w:r>
        <w:rPr>
          <w:rFonts w:ascii="Arial" w:cs="Arial" w:eastAsia="Arial" w:hAnsi="Arial"/>
          <w:sz w:val="22"/>
          <w:szCs w:val="22"/>
        </w:rPr>
        <w:t xml:space="preserve">Has Ostermiller, or KKOS Lawyers, ever represented any client before MIDA — directly or indirectly — while Ostermiller simultaneously held his MIDA voting seat?</w:t>
      </w:r>
    </w:p>
    <w:p>
      <w:pPr>
        <w:pStyle w:val="ListParagraph"/>
        <w:numPr>
          <w:ilvl w:val="0"/>
          <w:numId w:val="2"/>
        </w:numPr>
        <w:spacing w:after="60" w:before="60"/>
      </w:pPr>
      <w:r>
        <w:rPr>
          <w:rFonts w:ascii="Arial" w:cs="Arial" w:eastAsia="Arial" w:hAnsi="Arial"/>
          <w:sz w:val="22"/>
          <w:szCs w:val="22"/>
        </w:rPr>
        <w:t xml:space="preserve">Has KKOS ever represented any client whose application, project, or regulatory matter was pending before MIDA while Ostermiller voted on other MIDA matters? If so, did Ostermiller recuse himself?</w:t>
      </w:r>
    </w:p>
    <w:p>
      <w:pPr>
        <w:pStyle w:val="ListParagraph"/>
        <w:numPr>
          <w:ilvl w:val="0"/>
          <w:numId w:val="2"/>
        </w:numPr>
        <w:spacing w:after="60" w:before="60"/>
      </w:pPr>
      <w:r>
        <w:rPr>
          <w:rFonts w:ascii="Arial" w:cs="Arial" w:eastAsia="Arial" w:hAnsi="Arial"/>
          <w:sz w:val="22"/>
          <w:szCs w:val="22"/>
        </w:rPr>
        <w:t xml:space="preserve">Does KKOS's PAC management practice — described as managing 'the largest PAC in the State of Utah' — have any relationship to the PAC donations connected to Stuart Adams and the Stratos approval?</w:t>
      </w:r>
    </w:p>
    <w:p>
      <w:pPr>
        <w:pStyle w:val="ListParagraph"/>
        <w:numPr>
          <w:ilvl w:val="0"/>
          <w:numId w:val="2"/>
        </w:numPr>
        <w:spacing w:after="60" w:before="60"/>
      </w:pPr>
      <w:r>
        <w:rPr>
          <w:rFonts w:ascii="Arial" w:cs="Arial" w:eastAsia="Arial" w:hAnsi="Arial"/>
          <w:sz w:val="22"/>
          <w:szCs w:val="22"/>
        </w:rPr>
        <w:t xml:space="preserve">Has Ostermiller ever sought, accepted, or been offered any benefit — financial or professional — from any party with interests before MIDA, in connection with his board role?</w:t>
      </w:r>
    </w:p>
    <w:p>
      <w:pPr>
        <w:pStyle w:val="ListParagraph"/>
        <w:numPr>
          <w:ilvl w:val="0"/>
          <w:numId w:val="2"/>
        </w:numPr>
        <w:spacing w:after="60" w:before="60"/>
      </w:pPr>
      <w:r>
        <w:rPr>
          <w:rFonts w:ascii="Arial" w:cs="Arial" w:eastAsia="Arial" w:hAnsi="Arial"/>
          <w:sz w:val="22"/>
          <w:szCs w:val="22"/>
        </w:rPr>
        <w:t xml:space="preserve">What specific conflict-of-interest disclosures, if any, did Ostermiller make to MIDA, to his clients, or to his firm prior to voting on the April 24, 2026 Stratos approval?</w:t>
      </w:r>
    </w:p>
    <w:p>
      <w:pPr>
        <w:pStyle w:val="ListParagraph"/>
        <w:numPr>
          <w:ilvl w:val="0"/>
          <w:numId w:val="2"/>
        </w:numPr>
        <w:spacing w:after="60" w:before="60"/>
      </w:pPr>
      <w:r>
        <w:rPr>
          <w:rFonts w:ascii="Arial" w:cs="Arial" w:eastAsia="Arial" w:hAnsi="Arial"/>
          <w:sz w:val="22"/>
          <w:szCs w:val="22"/>
        </w:rPr>
        <w:t xml:space="preserve">Has KKOS Lawyers been retained, or sought to be retained, by any party connected to the Stratos Project — including O'Leary Digital, West GenCo, or any subcontractor or supplier — before or after the April 24, 2026 vote?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 EVIDENCE IN SUPPORT OF THIS COMPLAINT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meeting highlights, April 24, 2026 — confirming Ostermiller's virtual participation and affirmative vote on all five Stratos resolutions/ordinances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board member biography for Ostermiller (midaut.org) — describing his practice as 'legislative advocacy, lobbying, and local government affairs'</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KKOS Lawyers government relations practice description (kkoslawyers.com) — listing client industries including real estate, construction, utilities, land use, development, and confirming PAC management practice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development agreement — tax concession terms approved by Ostermiller's vote (energy tax 6% to 0.5%; 80% property tax rebate; letter of completion mechanism)</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Utah lobbyist registration records confirming Ostermiller's registered status as legislative advocate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enabling statute (Utah Code Title 63H-1) — confirming MIDA's quasi-governmental powers over zoning, taxation, bonding, and development approval</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News reports and public records documenting Ostermiller's role in the Stratos approval and MIDA board membership history since 2008</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H</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URPC Rule 1.7 Comment [14] (lawyer serving as director) — directly applicable to Ostermiller's dual role</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 RELIEF REQUESTED</w:t>
      </w:r>
    </w:p>
    <w:p>
      <w:pPr>
        <w:spacing w:after="100" w:before="100"/>
      </w:pPr>
      <w:r>
        <w:rPr>
          <w:rFonts w:ascii="Arial" w:cs="Arial" w:eastAsia="Arial" w:hAnsi="Arial"/>
          <w:sz w:val="22"/>
          <w:szCs w:val="22"/>
        </w:rPr>
        <w:t xml:space="preserve">The complainant respectfully requests that the Office of Professional Conduct:</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Open a formal investigation into the conduct of Michael J. Ostermiller as described herein;</w:t>
      </w:r>
    </w:p>
    <w:p>
      <w:pPr>
        <w:pStyle w:val="ListParagraph"/>
        <w:numPr>
          <w:ilvl w:val="0"/>
          <w:numId w:val="2"/>
        </w:numPr>
        <w:spacing w:after="60" w:before="60"/>
      </w:pPr>
      <w:r>
        <w:rPr>
          <w:rFonts w:ascii="Arial" w:cs="Arial" w:eastAsia="Arial" w:hAnsi="Arial"/>
          <w:sz w:val="22"/>
          <w:szCs w:val="22"/>
        </w:rPr>
        <w:t xml:space="preserve">Compel Ostermiller to produce all conflict-of-interest analyses, client disclosure records, and recusal records related to his MIDA board membership from 2008 to present;</w:t>
      </w:r>
    </w:p>
    <w:p>
      <w:pPr>
        <w:pStyle w:val="ListParagraph"/>
        <w:numPr>
          <w:ilvl w:val="0"/>
          <w:numId w:val="2"/>
        </w:numPr>
        <w:spacing w:after="60" w:before="60"/>
      </w:pPr>
      <w:r>
        <w:rPr>
          <w:rFonts w:ascii="Arial" w:cs="Arial" w:eastAsia="Arial" w:hAnsi="Arial"/>
          <w:sz w:val="22"/>
          <w:szCs w:val="22"/>
        </w:rPr>
        <w:t xml:space="preserve">Investigate whether KKOS Lawyers has represented any client with matters before or affected by MIDA during Ostermiller's board tenure;</w:t>
      </w:r>
    </w:p>
    <w:p>
      <w:pPr>
        <w:pStyle w:val="ListParagraph"/>
        <w:numPr>
          <w:ilvl w:val="0"/>
          <w:numId w:val="2"/>
        </w:numPr>
        <w:spacing w:after="60" w:before="60"/>
      </w:pPr>
      <w:r>
        <w:rPr>
          <w:rFonts w:ascii="Arial" w:cs="Arial" w:eastAsia="Arial" w:hAnsi="Arial"/>
          <w:sz w:val="22"/>
          <w:szCs w:val="22"/>
        </w:rPr>
        <w:t xml:space="preserve">Investigate the PAC management dimension of KKOS's practice and any connection to MIDA-related campaign finance;</w:t>
      </w:r>
    </w:p>
    <w:p>
      <w:pPr>
        <w:pStyle w:val="ListParagraph"/>
        <w:numPr>
          <w:ilvl w:val="0"/>
          <w:numId w:val="2"/>
        </w:numPr>
        <w:spacing w:after="60" w:before="60"/>
      </w:pPr>
      <w:r>
        <w:rPr>
          <w:rFonts w:ascii="Arial" w:cs="Arial" w:eastAsia="Arial" w:hAnsi="Arial"/>
          <w:sz w:val="22"/>
          <w:szCs w:val="22"/>
        </w:rPr>
        <w:t xml:space="preserve">If the OPC finds probable cause of professional misconduct, refer the matter to a Screening Panel for hearing;</w:t>
      </w:r>
    </w:p>
    <w:p>
      <w:pPr>
        <w:pStyle w:val="ListParagraph"/>
        <w:numPr>
          <w:ilvl w:val="0"/>
          <w:numId w:val="2"/>
        </w:numPr>
        <w:spacing w:after="60" w:before="60"/>
      </w:pPr>
      <w:r>
        <w:rPr>
          <w:rFonts w:ascii="Arial" w:cs="Arial" w:eastAsia="Arial" w:hAnsi="Arial"/>
          <w:sz w:val="22"/>
          <w:szCs w:val="22"/>
        </w:rPr>
        <w:t xml:space="preserve">If misconduct is found, impose appropriate discipline including at minimum a public reprimand and mandatory recusal from MIDA pending conflict resolution, and at maximum suspension or disbarment if the conduct is found to be intentional and ongoing;</w:t>
      </w:r>
    </w:p>
    <w:p>
      <w:pPr>
        <w:pStyle w:val="ListParagraph"/>
        <w:numPr>
          <w:ilvl w:val="0"/>
          <w:numId w:val="2"/>
        </w:numPr>
        <w:spacing w:after="60" w:before="60"/>
      </w:pPr>
      <w:r>
        <w:rPr>
          <w:rFonts w:ascii="Arial" w:cs="Arial" w:eastAsia="Arial" w:hAnsi="Arial"/>
          <w:sz w:val="22"/>
          <w:szCs w:val="22"/>
        </w:rPr>
        <w:t xml:space="preserve">Consider referral to the Utah Attorney General if the conduct implicates any criminal violation of UCA 67-16.</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VIII. COMPLAINANT INFORMATION AND CERTIFICATION</w:t>
      </w:r>
    </w:p>
    <w:p>
      <w:pPr>
        <w:spacing w:after="100" w:before="100"/>
      </w:pPr>
      <w:r>
        <w:rPr>
          <w:rFonts w:ascii="Arial" w:cs="Arial" w:eastAsia="Arial" w:hAnsi="Arial"/>
          <w:sz w:val="22"/>
          <w:szCs w:val="22"/>
        </w:rPr>
        <w:t xml:space="preserve">The complainant provides the following information and certifies that this complaint is submitted in good faith based on publicly available evidence. The complainant understands that this information will be shared with the respondent attorney and is subject to OPC procedures under the Rules of Discipline, Disability and Sanctions.</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[EMAIL]</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Relationship to Respondent</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Member of the public / Utah citizen affected by the Stratos Project approval process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spacing w:after="60" w:before="60"/>
      </w:pPr>
      <w:r>
        <w:t xml:space="preserve"/>
      </w:r>
    </w:p>
    <w:p>
      <w:pPr>
        <w:pBdr>
          <w:bottom w:val="single" w:color="2E5496" w:sz="4" w:space="1"/>
        </w:pBdr>
        <w:spacing w:after="160" w:before="160"/>
      </w:pPr>
      <w:r>
        <w:t xml:space="preserve"/>
      </w:r>
    </w:p>
    <w:p>
      <w:pPr>
        <w:spacing w:after="60" w:before="120"/>
        <w:jc w:val="center"/>
      </w:pPr>
      <w:r>
        <w:rPr>
          <w:rFonts w:ascii="Arial" w:cs="Arial" w:eastAsia="Arial" w:hAnsi="Arial"/>
          <w:b/>
          <w:bCs/>
          <w:color w:val="1F3864"/>
          <w:sz w:val="22"/>
          <w:szCs w:val="22"/>
        </w:rPr>
        <w:t xml:space="preserve">FILING INSTRUCTIONS</w:t>
      </w:r>
    </w:p>
    <w:p>
      <w:pPr>
        <w:spacing w:after="60" w:before="60"/>
      </w:pPr>
      <w:r>
        <w:t xml:space="preserve"/>
      </w:r>
    </w:p>
    <w:p>
      <w:pPr>
        <w:spacing w:after="100" w:before="100"/>
      </w:pPr>
      <w:r>
        <w:rPr>
          <w:rFonts w:ascii="Arial" w:cs="Arial" w:eastAsia="Arial" w:hAnsi="Arial"/>
          <w:sz w:val="22"/>
          <w:szCs w:val="22"/>
        </w:rPr>
        <w:t xml:space="preserve">This complaint may be filed:</w:t>
      </w:r>
    </w:p>
    <w:p>
      <w:pPr>
        <w:pStyle w:val="ListParagraph"/>
        <w:numPr>
          <w:ilvl w:val="0"/>
          <w:numId w:val="2"/>
        </w:numPr>
        <w:spacing w:after="60" w:before="60"/>
      </w:pPr>
      <w:r>
        <w:rPr>
          <w:rFonts w:ascii="Arial" w:cs="Arial" w:eastAsia="Arial" w:hAnsi="Arial"/>
          <w:sz w:val="22"/>
          <w:szCs w:val="22"/>
        </w:rPr>
        <w:t xml:space="preserve">Online: opcutah.org/file-a-complaint (electronic submission accepted)</w:t>
      </w:r>
    </w:p>
    <w:p>
      <w:pPr>
        <w:pStyle w:val="ListParagraph"/>
        <w:numPr>
          <w:ilvl w:val="0"/>
          <w:numId w:val="2"/>
        </w:numPr>
        <w:spacing w:after="60" w:before="60"/>
      </w:pPr>
      <w:r>
        <w:rPr>
          <w:rFonts w:ascii="Arial" w:cs="Arial" w:eastAsia="Arial" w:hAnsi="Arial"/>
          <w:sz w:val="22"/>
          <w:szCs w:val="22"/>
        </w:rPr>
        <w:t xml:space="preserve">By mail: Office of Professional Conduct, Utah State Bar, 645 South 200 East, Salt Lake City, UT 84111</w:t>
      </w:r>
    </w:p>
    <w:p>
      <w:pPr>
        <w:pStyle w:val="ListParagraph"/>
        <w:numPr>
          <w:ilvl w:val="0"/>
          <w:numId w:val="2"/>
        </w:numPr>
        <w:spacing w:after="60" w:before="60"/>
      </w:pPr>
      <w:r>
        <w:rPr>
          <w:rFonts w:ascii="Arial" w:cs="Arial" w:eastAsia="Arial" w:hAnsi="Arial"/>
          <w:sz w:val="22"/>
          <w:szCs w:val="22"/>
        </w:rPr>
        <w:t xml:space="preserve">By email: Contact OPC at opcutah.org for current submission email</w:t>
      </w:r>
    </w:p>
    <w:p>
      <w:pPr>
        <w:spacing w:after="60" w:before="60"/>
      </w:pPr>
      <w:r>
        <w:t xml:space="preserve"/>
      </w:r>
    </w:p>
    <w:p>
      <w:pPr>
        <w:spacing w:after="100" w:before="100"/>
      </w:pPr>
      <w:r>
        <w:rPr>
          <w:rFonts w:ascii="Arial" w:cs="Arial" w:eastAsia="Arial" w:hAnsi="Arial"/>
          <w:b/>
          <w:bCs/>
          <w:sz w:val="22"/>
          <w:szCs w:val="22"/>
        </w:rPr>
        <w:t xml:space="preserve">Process timeline after filing:</w:t>
      </w:r>
    </w:p>
    <w:p>
      <w:pPr>
        <w:pStyle w:val="ListParagraph"/>
        <w:numPr>
          <w:ilvl w:val="0"/>
          <w:numId w:val="2"/>
        </w:numPr>
        <w:spacing w:after="60" w:before="60"/>
      </w:pPr>
      <w:r>
        <w:rPr>
          <w:rFonts w:ascii="Arial" w:cs="Arial" w:eastAsia="Arial" w:hAnsi="Arial"/>
          <w:sz w:val="22"/>
          <w:szCs w:val="22"/>
        </w:rPr>
        <w:t xml:space="preserve">Initial investigation: approximately 150 days (gathering documents, reviewing for rule violations)</w:t>
      </w:r>
    </w:p>
    <w:p>
      <w:pPr>
        <w:pStyle w:val="ListParagraph"/>
        <w:numPr>
          <w:ilvl w:val="0"/>
          <w:numId w:val="2"/>
        </w:numPr>
        <w:spacing w:after="60" w:before="60"/>
      </w:pPr>
      <w:r>
        <w:rPr>
          <w:rFonts w:ascii="Arial" w:cs="Arial" w:eastAsia="Arial" w:hAnsi="Arial"/>
          <w:sz w:val="22"/>
          <w:szCs w:val="22"/>
        </w:rPr>
        <w:t xml:space="preserve">Follow-up investigation: approximately 120 days (formal response from attorney, additional review)</w:t>
      </w:r>
    </w:p>
    <w:p>
      <w:pPr>
        <w:pStyle w:val="ListParagraph"/>
        <w:numPr>
          <w:ilvl w:val="0"/>
          <w:numId w:val="2"/>
        </w:numPr>
        <w:spacing w:after="60" w:before="60"/>
      </w:pPr>
      <w:r>
        <w:rPr>
          <w:rFonts w:ascii="Arial" w:cs="Arial" w:eastAsia="Arial" w:hAnsi="Arial"/>
          <w:sz w:val="22"/>
          <w:szCs w:val="22"/>
        </w:rPr>
        <w:t xml:space="preserve">Screening Panel process: approximately 90 days (if OPC finds probable cause of misconduct)</w:t>
      </w:r>
    </w:p>
    <w:p>
      <w:pPr>
        <w:pStyle w:val="ListParagraph"/>
        <w:numPr>
          <w:ilvl w:val="0"/>
          <w:numId w:val="2"/>
        </w:numPr>
        <w:spacing w:after="60" w:before="60"/>
      </w:pPr>
      <w:r>
        <w:rPr>
          <w:rFonts w:ascii="Arial" w:cs="Arial" w:eastAsia="Arial" w:hAnsi="Arial"/>
          <w:sz w:val="22"/>
          <w:szCs w:val="22"/>
        </w:rPr>
        <w:t xml:space="preserve">If Screening Panel finds misconduct: matter referred to district court for formal disciplinary proceedings</w:t>
      </w:r>
    </w:p>
    <w:p>
      <w:pPr>
        <w:spacing w:after="60" w:before="60"/>
      </w:pPr>
      <w:r>
        <w:t xml:space="preserve"/>
      </w:r>
    </w:p>
    <w:p>
      <w:pPr>
        <w:spacing w:after="100" w:before="100"/>
      </w:pPr>
      <w:r>
        <w:rPr>
          <w:rFonts w:ascii="Arial" w:cs="Arial" w:eastAsia="Arial" w:hAnsi="Arial"/>
          <w:i/>
          <w:iCs/>
          <w:sz w:val="22"/>
          <w:szCs w:val="22"/>
        </w:rPr>
        <w:t xml:space="preserve">Note: Unlike legislative and executive ethics complaints, OPC complaints are NOT automatically confidential once submitted. However, investigation files are generally non-public unless formal discipline is imposed. The OPC will share this complaint with Ostermiller as part of its investigation process.</w:t>
      </w:r>
    </w:p>
    <w:p>
      <w:pPr>
        <w:spacing w:after="60" w:before="60"/>
      </w:pPr>
      <w:r>
        <w:t xml:space="preserve"/>
      </w:r>
    </w:p>
    <w:p>
      <w:pPr>
        <w:pBdr>
          <w:bottom w:val="single" w:color="2E5496" w:sz="4" w:space="1"/>
        </w:pBdr>
        <w:spacing w:after="160" w:before="160"/>
      </w:pPr>
      <w:r>
        <w:t xml:space="preserve"/>
      </w:r>
    </w:p>
    <w:p>
      <w:pPr>
        <w:spacing w:after="80" w:before="80"/>
        <w:jc w:val="center"/>
      </w:pPr>
      <w:r>
        <w:rPr>
          <w:rFonts w:ascii="Arial" w:cs="Arial" w:eastAsia="Arial" w:hAnsi="Arial"/>
          <w:i/>
          <w:iCs/>
          <w:color w:val="888888"/>
          <w:sz w:val="18"/>
          <w:szCs w:val="18"/>
        </w:rPr>
        <w:t xml:space="preserve">Project Box Elder — Utah OPC Bar Complaint — May 2026 — All facts based on publicly available sources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2026-05-16T04:31:33.989Z</dcterms:created>
  <dcterms:modified xsi:type="dcterms:W3CDTF">2026-05-16T04:31:34.006Z</dcterms:modified>
</cp:coreProperties>
</file>

<file path=docProps/custom.xml><?xml version="1.0" encoding="utf-8"?>
<Properties xmlns="http://schemas.openxmlformats.org/officeDocument/2006/custom-properties" xmlns:vt="http://schemas.openxmlformats.org/officeDocument/2006/docPropsVTypes"/>
</file>